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4"/>
        </w:rPr>
      </w:pPr>
      <w:bookmarkStart w:id="0" w:name="OLE_LINK3"/>
      <w:r>
        <w:rPr>
          <w:rFonts w:hint="eastAsia" w:ascii="宋体" w:hAnsi="宋体" w:cs="宋体"/>
          <w:b/>
          <w:kern w:val="28"/>
          <w:sz w:val="32"/>
          <w:szCs w:val="32"/>
        </w:rPr>
        <w:t>采购项目内容</w:t>
      </w:r>
    </w:p>
    <w:bookmarkEnd w:id="0"/>
    <w:p>
      <w:pPr>
        <w:numPr>
          <w:ilvl w:val="0"/>
          <w:numId w:val="1"/>
        </w:numPr>
        <w:spacing w:line="360" w:lineRule="auto"/>
        <w:outlineLvl w:val="1"/>
        <w:rPr>
          <w:rFonts w:hint="eastAsia"/>
          <w:b/>
          <w:color w:val="auto"/>
          <w:sz w:val="28"/>
          <w:szCs w:val="28"/>
        </w:rPr>
      </w:pPr>
      <w:r>
        <w:rPr>
          <w:rFonts w:hint="eastAsia"/>
          <w:b/>
          <w:sz w:val="28"/>
          <w:szCs w:val="28"/>
        </w:rPr>
        <w:t>项</w:t>
      </w:r>
      <w:r>
        <w:rPr>
          <w:rFonts w:hint="eastAsia"/>
          <w:b/>
          <w:color w:val="auto"/>
          <w:sz w:val="28"/>
          <w:szCs w:val="28"/>
        </w:rPr>
        <w:t>目内容：</w:t>
      </w:r>
    </w:p>
    <w:tbl>
      <w:tblPr>
        <w:tblStyle w:val="2"/>
        <w:tblW w:w="8039" w:type="dxa"/>
        <w:tblInd w:w="214" w:type="dxa"/>
        <w:tblLayout w:type="fixed"/>
        <w:tblCellMar>
          <w:top w:w="15" w:type="dxa"/>
          <w:left w:w="15" w:type="dxa"/>
          <w:bottom w:w="15" w:type="dxa"/>
          <w:right w:w="15" w:type="dxa"/>
        </w:tblCellMar>
      </w:tblPr>
      <w:tblGrid>
        <w:gridCol w:w="1105"/>
        <w:gridCol w:w="6934"/>
      </w:tblGrid>
      <w:tr>
        <w:tblPrEx>
          <w:tblCellMar>
            <w:top w:w="15" w:type="dxa"/>
            <w:left w:w="15" w:type="dxa"/>
            <w:bottom w:w="15" w:type="dxa"/>
            <w:right w:w="15" w:type="dxa"/>
          </w:tblCellMar>
        </w:tblPrEx>
        <w:trPr>
          <w:cantSplit/>
          <w:trHeight w:val="623" w:hRule="atLeast"/>
        </w:trPr>
        <w:tc>
          <w:tcPr>
            <w:tcW w:w="1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序号</w:t>
            </w:r>
          </w:p>
        </w:tc>
        <w:tc>
          <w:tcPr>
            <w:tcW w:w="69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ajorEastAsia" w:hAnsiTheme="majorEastAsia" w:eastAsiaTheme="majorEastAsia" w:cstheme="majorEastAsia"/>
                <w:b/>
                <w:sz w:val="18"/>
                <w:szCs w:val="18"/>
              </w:rPr>
            </w:pPr>
            <w:r>
              <w:rPr>
                <w:rFonts w:hint="eastAsia" w:asciiTheme="majorEastAsia" w:hAnsiTheme="majorEastAsia" w:eastAsiaTheme="majorEastAsia" w:cstheme="majorEastAsia"/>
                <w:b/>
                <w:kern w:val="0"/>
                <w:sz w:val="18"/>
                <w:szCs w:val="18"/>
              </w:rPr>
              <w:t>外送项目名称</w:t>
            </w:r>
          </w:p>
        </w:tc>
      </w:tr>
      <w:tr>
        <w:tblPrEx>
          <w:tblCellMar>
            <w:top w:w="15" w:type="dxa"/>
            <w:left w:w="15" w:type="dxa"/>
            <w:bottom w:w="15" w:type="dxa"/>
            <w:right w:w="15" w:type="dxa"/>
          </w:tblCellMar>
        </w:tblPrEx>
        <w:tc>
          <w:tcPr>
            <w:tcW w:w="1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w:t>
            </w:r>
          </w:p>
        </w:tc>
        <w:tc>
          <w:tcPr>
            <w:tcW w:w="693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单基因遗传病携带者筛查100种</w:t>
            </w:r>
          </w:p>
        </w:tc>
      </w:tr>
      <w:tr>
        <w:tblPrEx>
          <w:tblCellMar>
            <w:top w:w="15" w:type="dxa"/>
            <w:left w:w="15" w:type="dxa"/>
            <w:bottom w:w="15" w:type="dxa"/>
            <w:right w:w="15" w:type="dxa"/>
          </w:tblCellMar>
        </w:tblPrEx>
        <w:trPr>
          <w:trHeight w:val="238" w:hRule="atLeast"/>
        </w:trPr>
        <w:tc>
          <w:tcPr>
            <w:tcW w:w="1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lang w:val="en-US" w:eastAsia="zh-CN"/>
              </w:rPr>
              <w:t>2</w:t>
            </w:r>
          </w:p>
        </w:tc>
        <w:tc>
          <w:tcPr>
            <w:tcW w:w="693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遗传性耳聋基因测序</w:t>
            </w:r>
          </w:p>
        </w:tc>
      </w:tr>
      <w:tr>
        <w:tblPrEx>
          <w:tblCellMar>
            <w:top w:w="15" w:type="dxa"/>
            <w:left w:w="15" w:type="dxa"/>
            <w:bottom w:w="15" w:type="dxa"/>
            <w:right w:w="15" w:type="dxa"/>
          </w:tblCellMar>
        </w:tblPrEx>
        <w:trPr>
          <w:trHeight w:val="238" w:hRule="atLeast"/>
        </w:trPr>
        <w:tc>
          <w:tcPr>
            <w:tcW w:w="1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3</w:t>
            </w:r>
          </w:p>
        </w:tc>
        <w:tc>
          <w:tcPr>
            <w:tcW w:w="6934" w:type="dxa"/>
            <w:tcBorders>
              <w:top w:val="single" w:color="000000" w:sz="4" w:space="0"/>
              <w:left w:val="single" w:color="000000" w:sz="4" w:space="0"/>
              <w:bottom w:val="single" w:color="000000" w:sz="4" w:space="0"/>
              <w:right w:val="single" w:color="000000" w:sz="4" w:space="0"/>
            </w:tcBorders>
            <w:noWrap/>
            <w:vAlign w:val="center"/>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遗传性耳聋基因筛查</w:t>
            </w:r>
          </w:p>
        </w:tc>
      </w:tr>
      <w:tr>
        <w:tblPrEx>
          <w:tblCellMar>
            <w:top w:w="15" w:type="dxa"/>
            <w:left w:w="15" w:type="dxa"/>
            <w:bottom w:w="15" w:type="dxa"/>
            <w:right w:w="15" w:type="dxa"/>
          </w:tblCellMar>
        </w:tblPrEx>
        <w:trPr>
          <w:trHeight w:val="238" w:hRule="atLeast"/>
        </w:trPr>
        <w:tc>
          <w:tcPr>
            <w:tcW w:w="1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4</w:t>
            </w:r>
          </w:p>
        </w:tc>
        <w:tc>
          <w:tcPr>
            <w:tcW w:w="693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耳聋基因芯片筛查和诊断</w:t>
            </w:r>
          </w:p>
        </w:tc>
      </w:tr>
      <w:tr>
        <w:tblPrEx>
          <w:tblCellMar>
            <w:top w:w="15" w:type="dxa"/>
            <w:left w:w="15" w:type="dxa"/>
            <w:bottom w:w="15" w:type="dxa"/>
            <w:right w:w="15" w:type="dxa"/>
          </w:tblCellMar>
        </w:tblPrEx>
        <w:trPr>
          <w:trHeight w:val="238" w:hRule="atLeast"/>
        </w:trPr>
        <w:tc>
          <w:tcPr>
            <w:tcW w:w="1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5</w:t>
            </w:r>
          </w:p>
        </w:tc>
        <w:tc>
          <w:tcPr>
            <w:tcW w:w="693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地中海贫血基因检测全套</w:t>
            </w:r>
          </w:p>
        </w:tc>
      </w:tr>
      <w:tr>
        <w:tblPrEx>
          <w:tblCellMar>
            <w:top w:w="15" w:type="dxa"/>
            <w:left w:w="15" w:type="dxa"/>
            <w:bottom w:w="15" w:type="dxa"/>
            <w:right w:w="15" w:type="dxa"/>
          </w:tblCellMar>
        </w:tblPrEx>
        <w:trPr>
          <w:trHeight w:val="238" w:hRule="atLeast"/>
        </w:trPr>
        <w:tc>
          <w:tcPr>
            <w:tcW w:w="1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6</w:t>
            </w:r>
          </w:p>
        </w:tc>
        <w:tc>
          <w:tcPr>
            <w:tcW w:w="693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地贫基因检测常规组合</w:t>
            </w:r>
          </w:p>
        </w:tc>
      </w:tr>
    </w:tbl>
    <w:p>
      <w:pPr>
        <w:numPr>
          <w:ilvl w:val="0"/>
          <w:numId w:val="0"/>
        </w:numPr>
        <w:spacing w:line="360" w:lineRule="auto"/>
        <w:outlineLvl w:val="1"/>
        <w:rPr>
          <w:rFonts w:hint="eastAsia" w:asciiTheme="majorEastAsia" w:hAnsiTheme="majorEastAsia" w:eastAsiaTheme="majorEastAsia" w:cstheme="majorEastAsia"/>
          <w:b w:val="0"/>
          <w:bCs/>
          <w:color w:val="auto"/>
          <w:sz w:val="24"/>
          <w:szCs w:val="24"/>
          <w:lang w:val="en-US" w:eastAsia="zh-CN"/>
        </w:rPr>
      </w:pPr>
      <w:r>
        <w:rPr>
          <w:rFonts w:hint="eastAsia" w:ascii="宋体" w:hAnsi="宋体" w:cs="宋体"/>
          <w:color w:val="auto"/>
          <w:sz w:val="24"/>
          <w:lang w:val="en-US" w:eastAsia="zh-CN"/>
        </w:rPr>
        <w:t xml:space="preserve">   </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备注：合作期内如有临床发展需求新增的项目，由采购人、中标人双方具体协调协商处理。</w:t>
      </w:r>
    </w:p>
    <w:p>
      <w:pPr>
        <w:spacing w:line="360" w:lineRule="auto"/>
        <w:outlineLvl w:val="1"/>
        <w:rPr>
          <w:rFonts w:hint="eastAsia"/>
          <w:b/>
          <w:color w:val="auto"/>
          <w:sz w:val="28"/>
          <w:szCs w:val="28"/>
        </w:rPr>
      </w:pPr>
      <w:r>
        <w:rPr>
          <w:rFonts w:hint="eastAsia"/>
          <w:b/>
          <w:color w:val="auto"/>
          <w:sz w:val="28"/>
          <w:szCs w:val="28"/>
          <w:lang w:eastAsia="zh-CN"/>
        </w:rPr>
        <w:t>二</w:t>
      </w:r>
      <w:r>
        <w:rPr>
          <w:rFonts w:hint="eastAsia"/>
          <w:b/>
          <w:color w:val="auto"/>
          <w:sz w:val="28"/>
          <w:szCs w:val="28"/>
        </w:rPr>
        <w:t>、项目需求：</w:t>
      </w:r>
    </w:p>
    <w:p>
      <w:pPr>
        <w:spacing w:line="360" w:lineRule="auto"/>
        <w:jc w:val="left"/>
        <w:rPr>
          <w:rFonts w:hint="eastAsia" w:ascii="宋体" w:hAnsi="宋体" w:cs="宋体"/>
          <w:b/>
          <w:color w:val="auto"/>
          <w:sz w:val="24"/>
        </w:rPr>
      </w:pPr>
      <w:r>
        <w:rPr>
          <w:rFonts w:hint="eastAsia" w:ascii="宋体" w:hAnsi="宋体" w:cs="宋体"/>
          <w:b/>
          <w:color w:val="auto"/>
          <w:sz w:val="24"/>
        </w:rPr>
        <w:t>1、标本接收、送检及检验：</w:t>
      </w:r>
    </w:p>
    <w:p>
      <w:pPr>
        <w:spacing w:line="360" w:lineRule="auto"/>
        <w:ind w:left="420" w:hanging="420" w:hangingChars="175"/>
        <w:jc w:val="left"/>
        <w:rPr>
          <w:rFonts w:hint="eastAsia" w:ascii="宋体" w:hAnsi="宋体" w:cs="宋体"/>
          <w:bCs/>
          <w:color w:val="auto"/>
          <w:sz w:val="24"/>
        </w:rPr>
      </w:pPr>
      <w:r>
        <w:rPr>
          <w:rFonts w:hint="eastAsia" w:ascii="宋体" w:hAnsi="宋体" w:cs="宋体"/>
          <w:bCs/>
          <w:color w:val="auto"/>
          <w:sz w:val="24"/>
        </w:rPr>
        <w:t>(1)投标人必须配置汽车接收标本，车辆必须配备专用车载冰箱或保温箱。</w:t>
      </w:r>
    </w:p>
    <w:p>
      <w:pPr>
        <w:keepNext w:val="0"/>
        <w:keepLines w:val="0"/>
        <w:pageBreakBefore w:val="0"/>
        <w:widowControl w:val="0"/>
        <w:kinsoku/>
        <w:wordWrap/>
        <w:overflowPunct/>
        <w:topLinePunct w:val="0"/>
        <w:autoSpaceDE/>
        <w:autoSpaceDN/>
        <w:bidi/>
        <w:adjustRightInd/>
        <w:snapToGrid/>
        <w:spacing w:line="360" w:lineRule="auto"/>
        <w:ind w:left="0" w:hanging="420" w:hangingChars="175"/>
        <w:jc w:val="right"/>
        <w:textAlignment w:val="auto"/>
        <w:rPr>
          <w:rFonts w:hint="eastAsia" w:ascii="宋体" w:hAnsi="宋体" w:cs="宋体"/>
          <w:bCs/>
          <w:color w:val="auto"/>
          <w:sz w:val="24"/>
        </w:rPr>
      </w:pPr>
      <w:r>
        <w:rPr>
          <w:rFonts w:hint="eastAsia" w:ascii="宋体" w:hAnsi="宋体" w:cs="宋体"/>
          <w:bCs/>
          <w:color w:val="auto"/>
          <w:sz w:val="24"/>
        </w:rPr>
        <w:t>(2)冰箱或保温箱必须有相应的温度记录表，每周至少一次的清洁消毒，保证标本的质量；专线运送。</w:t>
      </w:r>
    </w:p>
    <w:p>
      <w:pPr>
        <w:keepNext w:val="0"/>
        <w:keepLines w:val="0"/>
        <w:pageBreakBefore w:val="0"/>
        <w:widowControl w:val="0"/>
        <w:kinsoku/>
        <w:wordWrap/>
        <w:overflowPunct/>
        <w:topLinePunct w:val="0"/>
        <w:autoSpaceDE/>
        <w:autoSpaceDN/>
        <w:bidi/>
        <w:adjustRightInd/>
        <w:snapToGrid/>
        <w:spacing w:line="360" w:lineRule="auto"/>
        <w:ind w:left="0" w:hanging="420" w:hangingChars="175"/>
        <w:jc w:val="right"/>
        <w:textAlignment w:val="auto"/>
        <w:rPr>
          <w:rFonts w:hint="eastAsia" w:ascii="宋体" w:hAnsi="宋体" w:cs="宋体"/>
          <w:bCs/>
          <w:color w:val="auto"/>
          <w:sz w:val="24"/>
        </w:rPr>
      </w:pPr>
      <w:r>
        <w:rPr>
          <w:rFonts w:hint="eastAsia" w:ascii="宋体" w:hAnsi="宋体" w:cs="宋体"/>
          <w:bCs/>
          <w:color w:val="auto"/>
          <w:sz w:val="24"/>
        </w:rPr>
        <w:t>(3)投标人提供每周七天的上门接收标本的服务，时间为8</w:t>
      </w:r>
      <w:r>
        <w:rPr>
          <w:rFonts w:hint="eastAsia" w:ascii="宋体" w:hAnsi="宋体" w:cs="宋体"/>
          <w:bCs/>
          <w:color w:val="auto"/>
          <w:sz w:val="24"/>
          <w:lang w:eastAsia="zh-CN"/>
        </w:rPr>
        <w:t>：</w:t>
      </w:r>
      <w:r>
        <w:rPr>
          <w:rFonts w:hint="eastAsia" w:ascii="宋体" w:hAnsi="宋体" w:cs="宋体"/>
          <w:bCs/>
          <w:color w:val="auto"/>
          <w:sz w:val="24"/>
          <w:lang w:val="en-US" w:eastAsia="zh-CN"/>
        </w:rPr>
        <w:t>0</w:t>
      </w:r>
      <w:r>
        <w:rPr>
          <w:rFonts w:hint="eastAsia" w:ascii="宋体" w:hAnsi="宋体" w:cs="宋体"/>
          <w:bCs/>
          <w:color w:val="auto"/>
          <w:sz w:val="24"/>
        </w:rPr>
        <w:t>0至17：30。遇特殊标本可机动收取，逢节假日可以适当减少收集次数，必须将收集时间以书面文件方式送给采购人。</w:t>
      </w:r>
    </w:p>
    <w:p>
      <w:pPr>
        <w:keepNext w:val="0"/>
        <w:keepLines w:val="0"/>
        <w:pageBreakBefore w:val="0"/>
        <w:kinsoku/>
        <w:wordWrap/>
        <w:overflowPunct/>
        <w:topLinePunct w:val="0"/>
        <w:autoSpaceDE/>
        <w:autoSpaceDN/>
        <w:bidi/>
        <w:adjustRightInd/>
        <w:snapToGrid/>
        <w:spacing w:line="360" w:lineRule="auto"/>
        <w:ind w:left="420" w:hanging="420" w:hangingChars="175"/>
        <w:jc w:val="right"/>
        <w:textAlignment w:val="auto"/>
        <w:rPr>
          <w:rFonts w:hint="eastAsia" w:ascii="宋体" w:hAnsi="宋体" w:cs="宋体"/>
          <w:bCs/>
          <w:color w:val="auto"/>
          <w:sz w:val="24"/>
        </w:rPr>
      </w:pPr>
      <w:r>
        <w:rPr>
          <w:rFonts w:hint="eastAsia" w:ascii="宋体" w:hAnsi="宋体" w:cs="宋体"/>
          <w:bCs/>
          <w:color w:val="auto"/>
          <w:sz w:val="24"/>
        </w:rPr>
        <w:t>(4)投标人具有规范标本接收、登记和包装流程，保证标本质量和安全，确保标本顺利交接，方便查核。</w:t>
      </w:r>
    </w:p>
    <w:p>
      <w:pPr>
        <w:keepNext w:val="0"/>
        <w:keepLines w:val="0"/>
        <w:pageBreakBefore w:val="0"/>
        <w:kinsoku/>
        <w:wordWrap/>
        <w:overflowPunct/>
        <w:topLinePunct w:val="0"/>
        <w:autoSpaceDE/>
        <w:autoSpaceDN/>
        <w:bidi/>
        <w:adjustRightInd/>
        <w:snapToGrid/>
        <w:spacing w:line="360" w:lineRule="auto"/>
        <w:ind w:left="420" w:hanging="420" w:hangingChars="175"/>
        <w:jc w:val="right"/>
        <w:textAlignment w:val="auto"/>
        <w:rPr>
          <w:rFonts w:hint="eastAsia" w:ascii="宋体" w:hAnsi="宋体" w:cs="宋体"/>
          <w:bCs/>
          <w:color w:val="auto"/>
          <w:sz w:val="24"/>
        </w:rPr>
      </w:pPr>
      <w:r>
        <w:rPr>
          <w:rFonts w:hint="eastAsia" w:ascii="宋体" w:hAnsi="宋体" w:cs="宋体"/>
          <w:bCs/>
          <w:color w:val="auto"/>
          <w:sz w:val="24"/>
        </w:rPr>
        <w:t>(5)投标人标本接收人员负责标本质量的初检、标识的核对，标本的接收登记及包装储存。</w:t>
      </w:r>
    </w:p>
    <w:p>
      <w:pPr>
        <w:keepNext w:val="0"/>
        <w:keepLines w:val="0"/>
        <w:pageBreakBefore w:val="0"/>
        <w:kinsoku/>
        <w:wordWrap/>
        <w:overflowPunct/>
        <w:topLinePunct w:val="0"/>
        <w:autoSpaceDE/>
        <w:autoSpaceDN/>
        <w:bidi/>
        <w:adjustRightInd/>
        <w:snapToGrid/>
        <w:spacing w:line="360" w:lineRule="auto"/>
        <w:ind w:left="420" w:hanging="420" w:hangingChars="175"/>
        <w:jc w:val="right"/>
        <w:textAlignment w:val="auto"/>
        <w:rPr>
          <w:rFonts w:hint="eastAsia" w:ascii="宋体" w:hAnsi="宋体" w:cs="宋体"/>
          <w:bCs/>
          <w:color w:val="auto"/>
          <w:sz w:val="24"/>
        </w:rPr>
      </w:pPr>
      <w:r>
        <w:rPr>
          <w:rFonts w:hint="eastAsia" w:ascii="宋体" w:hAnsi="宋体" w:cs="宋体"/>
          <w:bCs/>
          <w:color w:val="auto"/>
          <w:sz w:val="24"/>
        </w:rPr>
        <w:t>(6)投标人必须确保及时接收、送检标本和及时检验。标本不符合检验要求时，应及时通知采购人重新取样。</w:t>
      </w:r>
    </w:p>
    <w:p>
      <w:pPr>
        <w:keepNext w:val="0"/>
        <w:keepLines w:val="0"/>
        <w:pageBreakBefore w:val="0"/>
        <w:kinsoku/>
        <w:wordWrap/>
        <w:overflowPunct/>
        <w:topLinePunct w:val="0"/>
        <w:autoSpaceDE/>
        <w:autoSpaceDN/>
        <w:bidi/>
        <w:adjustRightInd/>
        <w:snapToGrid/>
        <w:spacing w:line="360" w:lineRule="auto"/>
        <w:ind w:left="420" w:hanging="420" w:hangingChars="175"/>
        <w:jc w:val="right"/>
        <w:textAlignment w:val="auto"/>
        <w:rPr>
          <w:rFonts w:hint="eastAsia" w:ascii="宋体" w:hAnsi="宋体" w:cs="宋体"/>
          <w:bCs/>
          <w:color w:val="auto"/>
          <w:sz w:val="24"/>
        </w:rPr>
      </w:pPr>
      <w:r>
        <w:rPr>
          <w:rFonts w:hint="eastAsia" w:ascii="宋体" w:hAnsi="宋体" w:cs="宋体"/>
          <w:bCs/>
          <w:color w:val="auto"/>
          <w:sz w:val="24"/>
        </w:rPr>
        <w:t>(7)标本在送检过程中出现延迟、遗漏、丢失等情况，次数累计每季度≦1例，报告的延误送达，服务期限内≤1/1000。投标人应有完善的应急预案予以妥善解决，否则投标人应承担因标本问题引起的纠纷以及赔偿责任。</w:t>
      </w:r>
    </w:p>
    <w:p>
      <w:pPr>
        <w:keepNext w:val="0"/>
        <w:keepLines w:val="0"/>
        <w:pageBreakBefore w:val="0"/>
        <w:kinsoku/>
        <w:wordWrap/>
        <w:overflowPunct/>
        <w:topLinePunct w:val="0"/>
        <w:autoSpaceDE/>
        <w:autoSpaceDN/>
        <w:bidi/>
        <w:adjustRightInd/>
        <w:snapToGrid/>
        <w:spacing w:line="360" w:lineRule="auto"/>
        <w:ind w:left="420" w:hanging="420" w:hangingChars="175"/>
        <w:jc w:val="right"/>
        <w:textAlignment w:val="auto"/>
        <w:rPr>
          <w:rFonts w:hint="eastAsia" w:ascii="宋体" w:hAnsi="宋体" w:cs="宋体"/>
          <w:bCs/>
          <w:color w:val="auto"/>
          <w:sz w:val="24"/>
        </w:rPr>
      </w:pPr>
      <w:r>
        <w:rPr>
          <w:rFonts w:hint="eastAsia" w:ascii="宋体" w:hAnsi="宋体" w:cs="宋体"/>
          <w:bCs/>
          <w:color w:val="auto"/>
          <w:sz w:val="24"/>
        </w:rPr>
        <w:t>(8)检验报告必须</w:t>
      </w:r>
      <w:r>
        <w:rPr>
          <w:rFonts w:hint="eastAsia" w:ascii="宋体" w:hAnsi="宋体" w:cs="宋体"/>
          <w:bCs/>
          <w:color w:val="auto"/>
          <w:sz w:val="24"/>
          <w:lang w:eastAsia="zh-CN"/>
        </w:rPr>
        <w:t>符合相关行业规范和指南</w:t>
      </w:r>
      <w:r>
        <w:rPr>
          <w:rFonts w:hint="eastAsia" w:ascii="宋体" w:hAnsi="宋体" w:cs="宋体"/>
          <w:bCs/>
          <w:color w:val="auto"/>
          <w:sz w:val="24"/>
        </w:rPr>
        <w:t>。出现因检验结果错误导致采购人医疗纠纷等不良后果，责任由投标人承担。</w:t>
      </w:r>
    </w:p>
    <w:p>
      <w:pPr>
        <w:keepNext w:val="0"/>
        <w:keepLines w:val="0"/>
        <w:pageBreakBefore w:val="0"/>
        <w:kinsoku/>
        <w:wordWrap/>
        <w:overflowPunct/>
        <w:topLinePunct w:val="0"/>
        <w:autoSpaceDE/>
        <w:autoSpaceDN/>
        <w:bidi/>
        <w:adjustRightInd/>
        <w:snapToGrid/>
        <w:spacing w:line="360" w:lineRule="auto"/>
        <w:ind w:left="420" w:hanging="420" w:hangingChars="175"/>
        <w:jc w:val="right"/>
        <w:textAlignment w:val="auto"/>
        <w:rPr>
          <w:rFonts w:hint="eastAsia" w:ascii="宋体" w:hAnsi="宋体" w:cs="宋体"/>
          <w:bCs/>
          <w:color w:val="auto"/>
          <w:sz w:val="24"/>
        </w:rPr>
      </w:pPr>
      <w:r>
        <w:rPr>
          <w:rFonts w:hint="eastAsia" w:ascii="宋体" w:hAnsi="宋体" w:cs="宋体"/>
          <w:bCs/>
          <w:color w:val="auto"/>
          <w:sz w:val="24"/>
        </w:rPr>
        <w:t>(9)检验结果差错比≦万分之一。</w:t>
      </w:r>
    </w:p>
    <w:p>
      <w:pPr>
        <w:keepNext w:val="0"/>
        <w:keepLines w:val="0"/>
        <w:pageBreakBefore w:val="0"/>
        <w:kinsoku/>
        <w:wordWrap/>
        <w:overflowPunct/>
        <w:topLinePunct w:val="0"/>
        <w:autoSpaceDE/>
        <w:autoSpaceDN/>
        <w:bidi/>
        <w:adjustRightInd/>
        <w:snapToGrid/>
        <w:spacing w:line="360" w:lineRule="auto"/>
        <w:ind w:left="420" w:hanging="420" w:hangingChars="175"/>
        <w:jc w:val="right"/>
        <w:textAlignment w:val="auto"/>
        <w:rPr>
          <w:rFonts w:hint="eastAsia" w:ascii="宋体" w:hAnsi="宋体" w:cs="宋体"/>
          <w:bCs/>
          <w:color w:val="auto"/>
          <w:sz w:val="24"/>
        </w:rPr>
      </w:pPr>
      <w:r>
        <w:rPr>
          <w:rFonts w:hint="eastAsia" w:ascii="宋体" w:hAnsi="宋体" w:cs="宋体"/>
          <w:bCs/>
          <w:color w:val="auto"/>
          <w:sz w:val="24"/>
        </w:rPr>
        <w:t>(10)检验结果与诊断报告相符程度（不可前后矛盾）≥99%。</w:t>
      </w:r>
    </w:p>
    <w:p>
      <w:pPr>
        <w:keepNext w:val="0"/>
        <w:keepLines w:val="0"/>
        <w:pageBreakBefore w:val="0"/>
        <w:kinsoku/>
        <w:wordWrap/>
        <w:overflowPunct/>
        <w:topLinePunct w:val="0"/>
        <w:autoSpaceDE/>
        <w:autoSpaceDN/>
        <w:bidi/>
        <w:adjustRightInd/>
        <w:snapToGrid/>
        <w:spacing w:line="360" w:lineRule="auto"/>
        <w:jc w:val="right"/>
        <w:textAlignment w:val="auto"/>
        <w:rPr>
          <w:rFonts w:hint="eastAsia" w:ascii="宋体" w:hAnsi="宋体" w:cs="宋体"/>
          <w:b/>
          <w:color w:val="auto"/>
          <w:sz w:val="24"/>
        </w:rPr>
      </w:pPr>
      <w:r>
        <w:rPr>
          <w:rFonts w:hint="eastAsia" w:ascii="宋体" w:hAnsi="宋体" w:cs="宋体"/>
          <w:b/>
          <w:color w:val="auto"/>
          <w:sz w:val="24"/>
        </w:rPr>
        <w:t>2、结果查询：</w:t>
      </w:r>
    </w:p>
    <w:p>
      <w:pPr>
        <w:keepNext w:val="0"/>
        <w:keepLines w:val="0"/>
        <w:pageBreakBefore w:val="0"/>
        <w:kinsoku/>
        <w:wordWrap/>
        <w:overflowPunct/>
        <w:topLinePunct w:val="0"/>
        <w:autoSpaceDE/>
        <w:autoSpaceDN/>
        <w:bidi/>
        <w:adjustRightInd/>
        <w:snapToGrid/>
        <w:spacing w:line="360" w:lineRule="auto"/>
        <w:ind w:left="-92" w:leftChars="-44" w:firstLine="0" w:firstLineChars="0"/>
        <w:jc w:val="right"/>
        <w:textAlignment w:val="auto"/>
        <w:rPr>
          <w:rFonts w:hint="eastAsia" w:ascii="宋体" w:hAnsi="宋体" w:eastAsia="宋体" w:cs="宋体"/>
          <w:bCs/>
          <w:color w:val="auto"/>
          <w:sz w:val="24"/>
          <w:lang w:eastAsia="zh-CN"/>
        </w:rPr>
      </w:pPr>
      <w:r>
        <w:rPr>
          <w:rFonts w:hint="eastAsia" w:ascii="宋体" w:hAnsi="宋体" w:cs="宋体"/>
          <w:bCs/>
          <w:color w:val="auto"/>
          <w:sz w:val="24"/>
        </w:rPr>
        <w:t>(1)为保证检验结果实时网络传送，后期如医院根据需要提出和LIS和HIS系统对接要求，其所需产生的一切费用，则由投标人承担，如不能满足要求，采购人可以要求中止合约</w:t>
      </w:r>
      <w:r>
        <w:rPr>
          <w:rFonts w:hint="eastAsia" w:ascii="宋体" w:hAnsi="宋体" w:cs="宋体"/>
          <w:bCs/>
          <w:color w:val="auto"/>
          <w:sz w:val="24"/>
          <w:lang w:eastAsia="zh-CN"/>
        </w:rPr>
        <w:t>。</w:t>
      </w:r>
    </w:p>
    <w:p>
      <w:pPr>
        <w:keepNext w:val="0"/>
        <w:keepLines w:val="0"/>
        <w:pageBreakBefore w:val="0"/>
        <w:kinsoku/>
        <w:wordWrap/>
        <w:overflowPunct/>
        <w:topLinePunct w:val="0"/>
        <w:autoSpaceDE/>
        <w:autoSpaceDN/>
        <w:bidi/>
        <w:adjustRightInd/>
        <w:snapToGrid/>
        <w:spacing w:line="360" w:lineRule="auto"/>
        <w:ind w:left="420" w:hanging="420" w:hangingChars="175"/>
        <w:jc w:val="right"/>
        <w:textAlignment w:val="auto"/>
        <w:rPr>
          <w:rFonts w:hint="eastAsia" w:ascii="宋体" w:hAnsi="宋体" w:cs="宋体"/>
          <w:bCs/>
          <w:color w:val="auto"/>
          <w:sz w:val="24"/>
        </w:rPr>
      </w:pPr>
      <w:r>
        <w:rPr>
          <w:rFonts w:hint="eastAsia" w:ascii="宋体" w:hAnsi="宋体" w:cs="宋体"/>
          <w:bCs/>
          <w:color w:val="auto"/>
          <w:sz w:val="24"/>
        </w:rPr>
        <w:t>(2)提供网上查询服务，以供随时查询进度和结果。</w:t>
      </w:r>
    </w:p>
    <w:p>
      <w:pPr>
        <w:keepNext w:val="0"/>
        <w:keepLines w:val="0"/>
        <w:pageBreakBefore w:val="0"/>
        <w:kinsoku/>
        <w:wordWrap/>
        <w:overflowPunct/>
        <w:topLinePunct w:val="0"/>
        <w:autoSpaceDE/>
        <w:autoSpaceDN/>
        <w:bidi/>
        <w:adjustRightInd/>
        <w:snapToGrid/>
        <w:spacing w:line="360" w:lineRule="auto"/>
        <w:ind w:left="420" w:hanging="420" w:hangingChars="175"/>
        <w:jc w:val="right"/>
        <w:textAlignment w:val="auto"/>
        <w:rPr>
          <w:rFonts w:hint="eastAsia" w:ascii="宋体" w:hAnsi="宋体" w:cs="宋体"/>
          <w:bCs/>
          <w:color w:val="auto"/>
          <w:sz w:val="24"/>
        </w:rPr>
      </w:pPr>
      <w:r>
        <w:rPr>
          <w:rFonts w:hint="eastAsia" w:ascii="宋体" w:hAnsi="宋体" w:cs="宋体"/>
          <w:bCs/>
          <w:color w:val="auto"/>
          <w:sz w:val="24"/>
        </w:rPr>
        <w:t>(3)提供电话查询服务，危急值专人电话跟进，确保患者检测信息与临床医生的畅通。</w:t>
      </w:r>
    </w:p>
    <w:p>
      <w:pPr>
        <w:keepNext w:val="0"/>
        <w:keepLines w:val="0"/>
        <w:pageBreakBefore w:val="0"/>
        <w:kinsoku/>
        <w:wordWrap/>
        <w:overflowPunct/>
        <w:topLinePunct w:val="0"/>
        <w:autoSpaceDE/>
        <w:autoSpaceDN/>
        <w:bidi/>
        <w:adjustRightInd/>
        <w:snapToGrid/>
        <w:spacing w:line="360" w:lineRule="auto"/>
        <w:ind w:left="420" w:hanging="420" w:hangingChars="175"/>
        <w:jc w:val="right"/>
        <w:textAlignment w:val="auto"/>
        <w:rPr>
          <w:rFonts w:hint="eastAsia" w:ascii="宋体" w:hAnsi="宋体" w:cs="宋体"/>
          <w:bCs/>
          <w:color w:val="auto"/>
          <w:sz w:val="24"/>
        </w:rPr>
      </w:pPr>
      <w:r>
        <w:rPr>
          <w:rFonts w:hint="eastAsia" w:ascii="宋体" w:hAnsi="宋体" w:cs="宋体"/>
          <w:bCs/>
          <w:color w:val="auto"/>
          <w:sz w:val="24"/>
        </w:rPr>
        <w:t>(4)医务人员可以随时调阅检验结果，投标人须保证病人的资料的准确性和检验结果的及时性，并提供系统使用的必要培训与技术支持。</w:t>
      </w:r>
    </w:p>
    <w:p>
      <w:pPr>
        <w:keepNext w:val="0"/>
        <w:keepLines w:val="0"/>
        <w:pageBreakBefore w:val="0"/>
        <w:kinsoku/>
        <w:wordWrap/>
        <w:overflowPunct/>
        <w:topLinePunct w:val="0"/>
        <w:autoSpaceDE/>
        <w:autoSpaceDN/>
        <w:bidi/>
        <w:adjustRightInd/>
        <w:snapToGrid/>
        <w:spacing w:line="360" w:lineRule="auto"/>
        <w:ind w:left="420" w:hanging="420" w:hangingChars="175"/>
        <w:jc w:val="right"/>
        <w:textAlignment w:val="auto"/>
        <w:rPr>
          <w:rFonts w:hint="eastAsia" w:ascii="宋体" w:hAnsi="宋体" w:cs="宋体"/>
          <w:bCs/>
          <w:color w:val="auto"/>
          <w:sz w:val="24"/>
        </w:rPr>
      </w:pPr>
      <w:r>
        <w:rPr>
          <w:rFonts w:hint="eastAsia" w:ascii="宋体" w:hAnsi="宋体" w:cs="宋体"/>
          <w:bCs/>
          <w:color w:val="auto"/>
          <w:sz w:val="24"/>
        </w:rPr>
        <w:t>(5)按照检测项目常规报告时间提供检测结果，并能满足招标方急诊项目的优先检测。</w:t>
      </w:r>
    </w:p>
    <w:p>
      <w:pPr>
        <w:keepNext w:val="0"/>
        <w:keepLines w:val="0"/>
        <w:pageBreakBefore w:val="0"/>
        <w:kinsoku/>
        <w:wordWrap/>
        <w:overflowPunct/>
        <w:topLinePunct w:val="0"/>
        <w:autoSpaceDE/>
        <w:autoSpaceDN/>
        <w:bidi/>
        <w:adjustRightInd/>
        <w:snapToGrid/>
        <w:spacing w:line="360" w:lineRule="auto"/>
        <w:jc w:val="right"/>
        <w:textAlignment w:val="auto"/>
        <w:rPr>
          <w:rFonts w:hint="eastAsia" w:ascii="宋体" w:hAnsi="宋体" w:cs="宋体"/>
          <w:b/>
          <w:color w:val="auto"/>
          <w:sz w:val="24"/>
        </w:rPr>
      </w:pPr>
      <w:r>
        <w:rPr>
          <w:rFonts w:hint="eastAsia" w:ascii="宋体" w:hAnsi="宋体" w:cs="宋体"/>
          <w:b/>
          <w:color w:val="auto"/>
          <w:sz w:val="24"/>
        </w:rPr>
        <w:t>3、服务要求：</w:t>
      </w:r>
    </w:p>
    <w:p>
      <w:pPr>
        <w:keepNext w:val="0"/>
        <w:keepLines w:val="0"/>
        <w:pageBreakBefore w:val="0"/>
        <w:widowControl/>
        <w:suppressLineNumbers w:val="0"/>
        <w:kinsoku/>
        <w:wordWrap/>
        <w:overflowPunct/>
        <w:topLinePunct w:val="0"/>
        <w:autoSpaceDE/>
        <w:autoSpaceDN/>
        <w:bidi/>
        <w:adjustRightInd/>
        <w:snapToGrid/>
        <w:spacing w:line="360" w:lineRule="auto"/>
        <w:jc w:val="right"/>
        <w:textAlignment w:val="auto"/>
        <w:rPr>
          <w:color w:val="auto"/>
        </w:rPr>
      </w:pPr>
      <w:r>
        <w:rPr>
          <w:rFonts w:hint="eastAsia" w:ascii="宋体" w:hAnsi="宋体" w:eastAsia="宋体" w:cs="宋体"/>
          <w:color w:val="auto"/>
          <w:kern w:val="0"/>
          <w:sz w:val="24"/>
          <w:szCs w:val="24"/>
          <w:lang w:val="en-US" w:eastAsia="zh-CN" w:bidi="ar"/>
        </w:rPr>
        <w:t>1、投标人负责每天不少于一次（含周六日）到采购人处收取标本，时间为 8:00-1</w:t>
      </w: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 xml:space="preserve">:30，运送条件：冷链特种车运送。 </w:t>
      </w:r>
    </w:p>
    <w:p>
      <w:pPr>
        <w:keepNext w:val="0"/>
        <w:keepLines w:val="0"/>
        <w:pageBreakBefore w:val="0"/>
        <w:widowControl/>
        <w:suppressLineNumbers w:val="0"/>
        <w:kinsoku/>
        <w:wordWrap/>
        <w:overflowPunct/>
        <w:topLinePunct w:val="0"/>
        <w:autoSpaceDE/>
        <w:autoSpaceDN/>
        <w:bidi/>
        <w:adjustRightInd/>
        <w:snapToGrid/>
        <w:spacing w:line="360" w:lineRule="auto"/>
        <w:jc w:val="right"/>
        <w:textAlignment w:val="auto"/>
        <w:rPr>
          <w:color w:val="auto"/>
        </w:rPr>
      </w:pPr>
      <w:r>
        <w:rPr>
          <w:rFonts w:hint="eastAsia" w:ascii="宋体" w:hAnsi="宋体" w:eastAsia="宋体" w:cs="宋体"/>
          <w:color w:val="auto"/>
          <w:kern w:val="0"/>
          <w:sz w:val="24"/>
          <w:szCs w:val="24"/>
          <w:lang w:val="en-US" w:eastAsia="zh-CN" w:bidi="ar"/>
        </w:rPr>
        <w:t xml:space="preserve">2、未经采购人同意，不得将采购人标本用于他用。 </w:t>
      </w:r>
    </w:p>
    <w:p>
      <w:pPr>
        <w:keepNext w:val="0"/>
        <w:keepLines w:val="0"/>
        <w:pageBreakBefore w:val="0"/>
        <w:widowControl/>
        <w:suppressLineNumbers w:val="0"/>
        <w:kinsoku/>
        <w:wordWrap/>
        <w:overflowPunct/>
        <w:topLinePunct w:val="0"/>
        <w:autoSpaceDE/>
        <w:autoSpaceDN/>
        <w:bidi/>
        <w:adjustRightInd/>
        <w:snapToGrid/>
        <w:spacing w:line="360" w:lineRule="auto"/>
        <w:jc w:val="right"/>
        <w:textAlignment w:val="auto"/>
        <w:rPr>
          <w:color w:val="auto"/>
        </w:rPr>
      </w:pPr>
      <w:r>
        <w:rPr>
          <w:rFonts w:hint="eastAsia" w:ascii="宋体" w:hAnsi="宋体" w:eastAsia="宋体" w:cs="宋体"/>
          <w:color w:val="auto"/>
          <w:kern w:val="0"/>
          <w:sz w:val="24"/>
          <w:szCs w:val="24"/>
          <w:lang w:val="en-US" w:eastAsia="zh-CN" w:bidi="ar"/>
        </w:rPr>
        <w:t xml:space="preserve">3、投标人需向采购人免费提供血液采集试管及特殊检查耗材（如普通试管、液基薄层 耗材取材工具等）。 </w:t>
      </w:r>
    </w:p>
    <w:p>
      <w:pPr>
        <w:keepNext w:val="0"/>
        <w:keepLines w:val="0"/>
        <w:pageBreakBefore w:val="0"/>
        <w:widowControl/>
        <w:suppressLineNumbers w:val="0"/>
        <w:kinsoku/>
        <w:wordWrap/>
        <w:overflowPunct/>
        <w:topLinePunct w:val="0"/>
        <w:autoSpaceDE/>
        <w:autoSpaceDN/>
        <w:bidi/>
        <w:adjustRightInd/>
        <w:snapToGrid/>
        <w:spacing w:line="360" w:lineRule="auto"/>
        <w:jc w:val="right"/>
        <w:textAlignment w:val="auto"/>
        <w:rPr>
          <w:color w:val="auto"/>
        </w:rPr>
      </w:pPr>
      <w:r>
        <w:rPr>
          <w:rFonts w:hint="eastAsia" w:ascii="宋体" w:hAnsi="宋体" w:eastAsia="宋体" w:cs="宋体"/>
          <w:color w:val="auto"/>
          <w:kern w:val="0"/>
          <w:sz w:val="24"/>
          <w:szCs w:val="24"/>
          <w:lang w:val="en-US" w:eastAsia="zh-CN" w:bidi="ar"/>
        </w:rPr>
        <w:t xml:space="preserve">4、免费为采购人提供检验单补单服务。 </w:t>
      </w:r>
    </w:p>
    <w:p>
      <w:pPr>
        <w:keepNext w:val="0"/>
        <w:keepLines w:val="0"/>
        <w:pageBreakBefore w:val="0"/>
        <w:widowControl/>
        <w:suppressLineNumbers w:val="0"/>
        <w:kinsoku/>
        <w:wordWrap/>
        <w:overflowPunct/>
        <w:topLinePunct w:val="0"/>
        <w:autoSpaceDE/>
        <w:autoSpaceDN/>
        <w:bidi/>
        <w:adjustRightInd/>
        <w:snapToGrid/>
        <w:spacing w:line="360" w:lineRule="auto"/>
        <w:jc w:val="right"/>
        <w:textAlignment w:val="auto"/>
        <w:rPr>
          <w:color w:val="auto"/>
        </w:rPr>
      </w:pPr>
      <w:r>
        <w:rPr>
          <w:rFonts w:hint="eastAsia" w:ascii="宋体" w:hAnsi="宋体" w:eastAsia="宋体" w:cs="宋体"/>
          <w:color w:val="auto"/>
          <w:kern w:val="0"/>
          <w:sz w:val="24"/>
          <w:szCs w:val="24"/>
          <w:lang w:val="en-US" w:eastAsia="zh-CN" w:bidi="ar"/>
        </w:rPr>
        <w:t xml:space="preserve">5、免费提供 LIS 接入服务。 </w:t>
      </w:r>
    </w:p>
    <w:p>
      <w:pPr>
        <w:keepNext w:val="0"/>
        <w:keepLines w:val="0"/>
        <w:pageBreakBefore w:val="0"/>
        <w:widowControl/>
        <w:suppressLineNumbers w:val="0"/>
        <w:kinsoku/>
        <w:wordWrap/>
        <w:overflowPunct/>
        <w:topLinePunct w:val="0"/>
        <w:autoSpaceDE/>
        <w:autoSpaceDN/>
        <w:bidi/>
        <w:adjustRightInd/>
        <w:snapToGrid/>
        <w:spacing w:line="360" w:lineRule="auto"/>
        <w:jc w:val="right"/>
        <w:textAlignment w:val="auto"/>
        <w:rPr>
          <w:color w:val="auto"/>
        </w:rPr>
      </w:pPr>
      <w:r>
        <w:rPr>
          <w:rFonts w:hint="eastAsia" w:ascii="宋体" w:hAnsi="宋体" w:eastAsia="宋体" w:cs="宋体"/>
          <w:color w:val="auto"/>
          <w:kern w:val="0"/>
          <w:sz w:val="24"/>
          <w:szCs w:val="24"/>
          <w:lang w:val="en-US" w:eastAsia="zh-CN" w:bidi="ar"/>
        </w:rPr>
        <w:t xml:space="preserve">6、如采购人突发仪器故障，投标人可提供临时外送标本服务，服务费用下浮率与中标下浮率一致。 </w:t>
      </w:r>
    </w:p>
    <w:p>
      <w:pPr>
        <w:keepNext w:val="0"/>
        <w:keepLines w:val="0"/>
        <w:pageBreakBefore w:val="0"/>
        <w:widowControl/>
        <w:suppressLineNumbers w:val="0"/>
        <w:kinsoku/>
        <w:wordWrap/>
        <w:overflowPunct/>
        <w:topLinePunct w:val="0"/>
        <w:autoSpaceDE/>
        <w:autoSpaceDN/>
        <w:bidi/>
        <w:adjustRightInd/>
        <w:snapToGrid/>
        <w:spacing w:line="360" w:lineRule="auto"/>
        <w:jc w:val="right"/>
        <w:textAlignment w:val="auto"/>
        <w:rPr>
          <w:color w:val="auto"/>
        </w:rPr>
      </w:pPr>
      <w:r>
        <w:rPr>
          <w:rFonts w:hint="eastAsia" w:ascii="宋体" w:hAnsi="宋体" w:eastAsia="宋体" w:cs="宋体"/>
          <w:color w:val="auto"/>
          <w:kern w:val="0"/>
          <w:sz w:val="24"/>
          <w:szCs w:val="24"/>
          <w:lang w:val="en-US" w:eastAsia="zh-CN" w:bidi="ar"/>
        </w:rPr>
        <w:t xml:space="preserve">7、免费提供在线结果查询。 </w:t>
      </w:r>
    </w:p>
    <w:p>
      <w:pPr>
        <w:keepNext w:val="0"/>
        <w:keepLines w:val="0"/>
        <w:pageBreakBefore w:val="0"/>
        <w:widowControl/>
        <w:suppressLineNumbers w:val="0"/>
        <w:kinsoku/>
        <w:wordWrap/>
        <w:overflowPunct/>
        <w:topLinePunct w:val="0"/>
        <w:autoSpaceDE/>
        <w:autoSpaceDN/>
        <w:bidi/>
        <w:adjustRightInd/>
        <w:snapToGrid/>
        <w:spacing w:line="360" w:lineRule="auto"/>
        <w:jc w:val="right"/>
        <w:textAlignment w:val="auto"/>
        <w:rPr>
          <w:color w:val="auto"/>
        </w:rPr>
      </w:pPr>
      <w:r>
        <w:rPr>
          <w:rFonts w:hint="eastAsia" w:ascii="宋体" w:hAnsi="宋体" w:eastAsia="宋体" w:cs="宋体"/>
          <w:color w:val="auto"/>
          <w:kern w:val="0"/>
          <w:sz w:val="24"/>
          <w:szCs w:val="24"/>
          <w:lang w:val="en-US" w:eastAsia="zh-CN" w:bidi="ar"/>
        </w:rPr>
        <w:t xml:space="preserve">8、在采购人科研项目有检测需求时，可提供优惠或便利服务。 </w:t>
      </w:r>
    </w:p>
    <w:p>
      <w:pPr>
        <w:keepNext w:val="0"/>
        <w:keepLines w:val="0"/>
        <w:pageBreakBefore w:val="0"/>
        <w:widowControl/>
        <w:suppressLineNumbers w:val="0"/>
        <w:kinsoku/>
        <w:wordWrap/>
        <w:overflowPunct/>
        <w:topLinePunct w:val="0"/>
        <w:autoSpaceDE/>
        <w:autoSpaceDN/>
        <w:bidi/>
        <w:adjustRightInd/>
        <w:snapToGrid/>
        <w:spacing w:line="360" w:lineRule="auto"/>
        <w:jc w:val="right"/>
        <w:textAlignment w:val="auto"/>
        <w:rPr>
          <w:color w:val="auto"/>
        </w:rPr>
      </w:pPr>
      <w:r>
        <w:rPr>
          <w:rFonts w:hint="eastAsia" w:ascii="宋体" w:hAnsi="宋体" w:eastAsia="宋体" w:cs="宋体"/>
          <w:color w:val="auto"/>
          <w:kern w:val="0"/>
          <w:sz w:val="24"/>
          <w:szCs w:val="24"/>
          <w:lang w:val="en-US" w:eastAsia="zh-CN" w:bidi="ar"/>
        </w:rPr>
        <w:t xml:space="preserve">9、根据采购人的项目设定单项检查项目和组合检查项目。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cs="宋体"/>
          <w:b/>
          <w:color w:val="auto"/>
          <w:kern w:val="0"/>
          <w:sz w:val="24"/>
          <w:szCs w:val="24"/>
          <w:lang w:val="en-US" w:eastAsia="zh-CN" w:bidi="ar"/>
        </w:rPr>
        <w:t>三</w:t>
      </w:r>
      <w:r>
        <w:rPr>
          <w:rFonts w:hint="eastAsia" w:ascii="宋体" w:hAnsi="宋体" w:eastAsia="宋体" w:cs="宋体"/>
          <w:b/>
          <w:color w:val="auto"/>
          <w:kern w:val="0"/>
          <w:sz w:val="24"/>
          <w:szCs w:val="24"/>
          <w:lang w:val="en-US" w:eastAsia="zh-CN" w:bidi="ar"/>
        </w:rPr>
        <w:t xml:space="preserve">、质量要求：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 xml:space="preserve">1、误检率（检错每年不高于 1 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 xml:space="preserve">2、漏检率（缺项每年少于 1 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 xml:space="preserve">3、及时性（结果及时，及时率大于 99.5%）。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 xml:space="preserve">4、误报率（姓名、结果误报，每季度不高于 2 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 xml:space="preserve">5、检测标本丢失、运送错误（次数累计/年）：每年不能高于 1‰。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Cs/>
          <w:color w:val="auto"/>
          <w:sz w:val="24"/>
        </w:rPr>
      </w:pPr>
      <w:r>
        <w:rPr>
          <w:rFonts w:hint="eastAsia" w:ascii="宋体" w:hAnsi="宋体" w:eastAsia="宋体" w:cs="宋体"/>
          <w:color w:val="auto"/>
          <w:kern w:val="0"/>
          <w:sz w:val="24"/>
          <w:szCs w:val="24"/>
          <w:lang w:val="en-US" w:eastAsia="zh-CN" w:bidi="ar"/>
        </w:rPr>
        <w:t>6、危机值报告率和及时率要达到 100%。</w:t>
      </w:r>
    </w:p>
    <w:p>
      <w:pPr>
        <w:spacing w:line="360" w:lineRule="auto"/>
        <w:jc w:val="left"/>
        <w:rPr>
          <w:rFonts w:hint="eastAsia" w:ascii="宋体" w:hAnsi="宋体" w:cs="宋体"/>
          <w:b/>
          <w:color w:val="auto"/>
          <w:sz w:val="24"/>
        </w:rPr>
      </w:pPr>
      <w:r>
        <w:rPr>
          <w:rFonts w:hint="eastAsia" w:ascii="宋体" w:hAnsi="宋体" w:cs="宋体"/>
          <w:b/>
          <w:color w:val="auto"/>
          <w:sz w:val="24"/>
        </w:rPr>
        <w:t>4、拟本项目所需人员要求：</w:t>
      </w:r>
    </w:p>
    <w:p>
      <w:pPr>
        <w:spacing w:line="360" w:lineRule="auto"/>
        <w:ind w:firstLine="240" w:firstLineChars="100"/>
        <w:jc w:val="left"/>
        <w:rPr>
          <w:rFonts w:hint="eastAsia" w:ascii="宋体" w:hAnsi="宋体" w:cs="宋体"/>
          <w:bCs/>
          <w:color w:val="auto"/>
          <w:sz w:val="24"/>
        </w:rPr>
      </w:pPr>
      <w:r>
        <w:rPr>
          <w:rFonts w:hint="eastAsia" w:ascii="宋体" w:hAnsi="宋体" w:cs="宋体"/>
          <w:bCs/>
          <w:color w:val="auto"/>
          <w:sz w:val="24"/>
        </w:rPr>
        <w:t>投标人所委派本项目的人员配备必须合理，职责明确，服务团队要求如下：</w:t>
      </w:r>
    </w:p>
    <w:tbl>
      <w:tblPr>
        <w:tblStyle w:val="2"/>
        <w:tblW w:w="8831" w:type="dxa"/>
        <w:tblInd w:w="214" w:type="dxa"/>
        <w:tblLayout w:type="fixed"/>
        <w:tblCellMar>
          <w:top w:w="15" w:type="dxa"/>
          <w:left w:w="15" w:type="dxa"/>
          <w:bottom w:w="15" w:type="dxa"/>
          <w:right w:w="15" w:type="dxa"/>
        </w:tblCellMar>
      </w:tblPr>
      <w:tblGrid>
        <w:gridCol w:w="795"/>
        <w:gridCol w:w="1736"/>
        <w:gridCol w:w="1044"/>
        <w:gridCol w:w="5256"/>
      </w:tblGrid>
      <w:tr>
        <w:tblPrEx>
          <w:tblCellMar>
            <w:top w:w="15" w:type="dxa"/>
            <w:left w:w="15" w:type="dxa"/>
            <w:bottom w:w="15" w:type="dxa"/>
            <w:right w:w="15" w:type="dxa"/>
          </w:tblCellMar>
        </w:tblPrEx>
        <w:trPr>
          <w:trHeight w:val="564"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ascii="宋体" w:hAnsi="宋体" w:cs="宋体"/>
                <w:b/>
                <w:color w:val="auto"/>
                <w:sz w:val="24"/>
                <w:shd w:val="clear" w:color="FFFFFF" w:fill="D9D9D9"/>
              </w:rPr>
            </w:pPr>
            <w:r>
              <w:rPr>
                <w:rFonts w:ascii="宋体" w:hAnsi="宋体" w:cs="宋体"/>
                <w:b/>
                <w:color w:val="auto"/>
                <w:kern w:val="0"/>
                <w:sz w:val="24"/>
              </w:rPr>
              <w:t>序号</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ascii="宋体" w:hAnsi="宋体" w:cs="宋体"/>
                <w:b/>
                <w:color w:val="auto"/>
                <w:sz w:val="24"/>
                <w:shd w:val="clear" w:color="FFFFFF" w:fill="D9D9D9"/>
              </w:rPr>
            </w:pPr>
            <w:r>
              <w:rPr>
                <w:rFonts w:ascii="宋体" w:hAnsi="宋体" w:cs="宋体"/>
                <w:b/>
                <w:color w:val="auto"/>
                <w:kern w:val="0"/>
                <w:sz w:val="24"/>
              </w:rPr>
              <w:t>人员</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ascii="宋体" w:hAnsi="宋体" w:cs="宋体"/>
                <w:b/>
                <w:color w:val="auto"/>
                <w:sz w:val="24"/>
                <w:shd w:val="clear" w:color="FFFFFF" w:fill="D9D9D9"/>
              </w:rPr>
            </w:pPr>
            <w:r>
              <w:rPr>
                <w:rFonts w:ascii="宋体" w:hAnsi="宋体" w:cs="宋体"/>
                <w:b/>
                <w:color w:val="auto"/>
                <w:kern w:val="0"/>
                <w:sz w:val="24"/>
              </w:rPr>
              <w:t>数量</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ascii="宋体" w:hAnsi="宋体" w:cs="宋体"/>
                <w:b/>
                <w:color w:val="auto"/>
                <w:sz w:val="24"/>
                <w:shd w:val="clear" w:color="FFFFFF" w:fill="D9D9D9"/>
              </w:rPr>
            </w:pPr>
            <w:r>
              <w:rPr>
                <w:rFonts w:ascii="宋体" w:hAnsi="宋体" w:cs="宋体"/>
                <w:b/>
                <w:color w:val="auto"/>
                <w:kern w:val="0"/>
                <w:sz w:val="24"/>
              </w:rPr>
              <w:t>具体要求</w:t>
            </w:r>
          </w:p>
        </w:tc>
      </w:tr>
      <w:tr>
        <w:tblPrEx>
          <w:tblCellMar>
            <w:top w:w="15" w:type="dxa"/>
            <w:left w:w="15" w:type="dxa"/>
            <w:bottom w:w="15" w:type="dxa"/>
            <w:right w:w="15" w:type="dxa"/>
          </w:tblCellMar>
        </w:tblPrEx>
        <w:trPr>
          <w:trHeight w:val="481"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宋体" w:hAnsi="宋体" w:cs="宋体"/>
                <w:color w:val="auto"/>
                <w:sz w:val="24"/>
                <w:shd w:val="clear" w:color="FFFFFF" w:fill="D9D9D9"/>
              </w:rPr>
            </w:pPr>
            <w:r>
              <w:rPr>
                <w:rFonts w:ascii="宋体" w:hAnsi="宋体" w:cs="宋体"/>
                <w:color w:val="auto"/>
                <w:kern w:val="0"/>
                <w:sz w:val="24"/>
              </w:rPr>
              <w:t>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宋体" w:hAnsi="宋体" w:cs="宋体"/>
                <w:color w:val="auto"/>
                <w:sz w:val="24"/>
                <w:shd w:val="clear" w:color="FFFFFF" w:fill="D9D9D9"/>
              </w:rPr>
            </w:pPr>
            <w:r>
              <w:rPr>
                <w:rFonts w:ascii="宋体" w:hAnsi="宋体" w:cs="宋体"/>
                <w:color w:val="auto"/>
                <w:kern w:val="0"/>
                <w:sz w:val="24"/>
              </w:rPr>
              <w:t>项目负责人</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宋体" w:hAnsi="宋体" w:cs="宋体"/>
                <w:color w:val="auto"/>
                <w:sz w:val="24"/>
                <w:shd w:val="clear" w:color="FFFFFF" w:fill="D9D9D9"/>
              </w:rPr>
            </w:pPr>
            <w:r>
              <w:rPr>
                <w:rFonts w:hint="eastAsia" w:ascii="宋体" w:hAnsi="宋体" w:cs="宋体"/>
                <w:bCs/>
                <w:color w:val="auto"/>
                <w:sz w:val="24"/>
              </w:rPr>
              <w:t>≥</w:t>
            </w:r>
            <w:r>
              <w:rPr>
                <w:rFonts w:ascii="宋体" w:hAnsi="宋体" w:cs="宋体"/>
                <w:color w:val="auto"/>
                <w:kern w:val="0"/>
                <w:sz w:val="24"/>
              </w:rPr>
              <w:t>2人</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ascii="宋体" w:hAnsi="宋体" w:cs="宋体"/>
                <w:color w:val="auto"/>
                <w:sz w:val="24"/>
                <w:shd w:val="clear" w:color="FFFFFF" w:fill="D9D9D9"/>
              </w:rPr>
            </w:pPr>
            <w:r>
              <w:rPr>
                <w:rFonts w:ascii="宋体" w:hAnsi="宋体" w:cs="宋体"/>
                <w:color w:val="auto"/>
                <w:kern w:val="0"/>
                <w:sz w:val="24"/>
              </w:rPr>
              <w:t>具备高级或以上职称</w:t>
            </w:r>
          </w:p>
        </w:tc>
      </w:tr>
      <w:tr>
        <w:tblPrEx>
          <w:tblCellMar>
            <w:top w:w="15" w:type="dxa"/>
            <w:left w:w="15" w:type="dxa"/>
            <w:bottom w:w="15" w:type="dxa"/>
            <w:right w:w="15" w:type="dxa"/>
          </w:tblCellMar>
        </w:tblPrEx>
        <w:trPr>
          <w:trHeight w:val="481"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hd w:val="clear" w:color="FFFFFF" w:fill="D9D9D9"/>
                <w:lang w:val="en-US" w:eastAsia="zh-CN"/>
              </w:rPr>
            </w:pPr>
            <w:r>
              <w:rPr>
                <w:rFonts w:hint="eastAsia" w:ascii="宋体" w:hAnsi="宋体" w:cs="宋体"/>
                <w:color w:val="auto"/>
                <w:sz w:val="24"/>
                <w:shd w:val="clear" w:color="FFFFFF" w:fill="D9D9D9"/>
                <w:lang w:val="en-US" w:eastAsia="zh-CN"/>
              </w:rPr>
              <w:t>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hd w:val="clear" w:color="FFFFFF" w:fill="D9D9D9"/>
              </w:rPr>
            </w:pPr>
            <w:r>
              <w:rPr>
                <w:rFonts w:ascii="宋体" w:hAnsi="宋体" w:cs="宋体"/>
                <w:color w:val="auto"/>
                <w:kern w:val="0"/>
                <w:sz w:val="24"/>
              </w:rPr>
              <w:t>基因室</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hd w:val="clear" w:color="FFFFFF" w:fill="D9D9D9"/>
              </w:rPr>
            </w:pPr>
            <w:r>
              <w:rPr>
                <w:rFonts w:hint="eastAsia" w:ascii="宋体" w:hAnsi="宋体" w:cs="宋体"/>
                <w:bCs/>
                <w:color w:val="auto"/>
                <w:sz w:val="24"/>
              </w:rPr>
              <w:t>≥</w:t>
            </w:r>
            <w:r>
              <w:rPr>
                <w:rFonts w:ascii="宋体" w:hAnsi="宋体" w:cs="宋体"/>
                <w:color w:val="auto"/>
                <w:kern w:val="0"/>
                <w:sz w:val="24"/>
              </w:rPr>
              <w:t>2人</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24"/>
                <w:shd w:val="clear" w:color="FFFFFF" w:fill="D9D9D9"/>
              </w:rPr>
            </w:pPr>
            <w:r>
              <w:rPr>
                <w:rFonts w:ascii="宋体" w:hAnsi="宋体" w:cs="宋体"/>
                <w:color w:val="auto"/>
                <w:kern w:val="0"/>
                <w:sz w:val="24"/>
              </w:rPr>
              <w:t>具备注册检验师资格</w:t>
            </w:r>
          </w:p>
        </w:tc>
      </w:tr>
      <w:tr>
        <w:tblPrEx>
          <w:tblCellMar>
            <w:top w:w="15" w:type="dxa"/>
            <w:left w:w="15" w:type="dxa"/>
            <w:bottom w:w="15" w:type="dxa"/>
            <w:right w:w="15" w:type="dxa"/>
          </w:tblCellMar>
        </w:tblPrEx>
        <w:trPr>
          <w:trHeight w:val="464"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hd w:val="clear" w:color="FFFFFF" w:fill="D9D9D9"/>
                <w:lang w:val="en-US" w:eastAsia="zh-CN"/>
              </w:rPr>
            </w:pPr>
            <w:r>
              <w:rPr>
                <w:rFonts w:hint="eastAsia" w:ascii="宋体" w:hAnsi="宋体" w:cs="宋体"/>
                <w:color w:val="auto"/>
                <w:sz w:val="24"/>
                <w:shd w:val="clear" w:color="FFFFFF" w:fill="D9D9D9"/>
                <w:lang w:val="en-US" w:eastAsia="zh-CN"/>
              </w:rPr>
              <w:t>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hd w:val="clear" w:color="FFFFFF" w:fill="D9D9D9"/>
              </w:rPr>
            </w:pPr>
            <w:r>
              <w:rPr>
                <w:rFonts w:ascii="宋体" w:hAnsi="宋体" w:cs="宋体"/>
                <w:color w:val="auto"/>
                <w:kern w:val="0"/>
                <w:sz w:val="24"/>
              </w:rPr>
              <w:t>物流</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hd w:val="clear" w:color="FFFFFF" w:fill="D9D9D9"/>
              </w:rPr>
            </w:pPr>
            <w:r>
              <w:rPr>
                <w:rFonts w:hint="eastAsia" w:ascii="宋体" w:hAnsi="宋体" w:cs="宋体"/>
                <w:bCs/>
                <w:color w:val="auto"/>
                <w:sz w:val="24"/>
              </w:rPr>
              <w:t>≥</w:t>
            </w:r>
            <w:r>
              <w:rPr>
                <w:rFonts w:ascii="宋体" w:hAnsi="宋体" w:cs="宋体"/>
                <w:color w:val="auto"/>
                <w:kern w:val="0"/>
                <w:sz w:val="24"/>
              </w:rPr>
              <w:t>2人</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shd w:val="clear" w:color="FFFFFF" w:fill="D9D9D9"/>
              </w:rPr>
            </w:pPr>
          </w:p>
        </w:tc>
      </w:tr>
      <w:tr>
        <w:tblPrEx>
          <w:tblCellMar>
            <w:top w:w="15" w:type="dxa"/>
            <w:left w:w="15" w:type="dxa"/>
            <w:bottom w:w="15" w:type="dxa"/>
            <w:right w:w="15" w:type="dxa"/>
          </w:tblCellMar>
        </w:tblPrEx>
        <w:trPr>
          <w:trHeight w:val="474"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hd w:val="clear" w:color="FFFFFF" w:fill="D9D9D9"/>
                <w:lang w:val="en-US" w:eastAsia="zh-CN"/>
              </w:rPr>
            </w:pPr>
            <w:r>
              <w:rPr>
                <w:rFonts w:hint="eastAsia" w:ascii="宋体" w:hAnsi="宋体" w:cs="宋体"/>
                <w:color w:val="auto"/>
                <w:sz w:val="24"/>
                <w:shd w:val="clear" w:color="FFFFFF" w:fill="D9D9D9"/>
                <w:lang w:val="en-US" w:eastAsia="zh-CN"/>
              </w:rPr>
              <w:t>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hd w:val="clear" w:color="FFFFFF" w:fill="D9D9D9"/>
              </w:rPr>
            </w:pPr>
            <w:r>
              <w:rPr>
                <w:rFonts w:ascii="宋体" w:hAnsi="宋体" w:cs="宋体"/>
                <w:color w:val="auto"/>
                <w:kern w:val="0"/>
                <w:sz w:val="24"/>
              </w:rPr>
              <w:t>标本接收</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hd w:val="clear" w:color="FFFFFF" w:fill="D9D9D9"/>
              </w:rPr>
            </w:pPr>
            <w:r>
              <w:rPr>
                <w:rFonts w:hint="eastAsia" w:ascii="宋体" w:hAnsi="宋体" w:cs="宋体"/>
                <w:bCs/>
                <w:color w:val="auto"/>
                <w:sz w:val="24"/>
              </w:rPr>
              <w:t>≥</w:t>
            </w:r>
            <w:r>
              <w:rPr>
                <w:rFonts w:hint="eastAsia" w:ascii="宋体" w:hAnsi="宋体" w:cs="宋体"/>
                <w:color w:val="auto"/>
                <w:kern w:val="0"/>
                <w:sz w:val="24"/>
              </w:rPr>
              <w:t>2</w:t>
            </w:r>
            <w:r>
              <w:rPr>
                <w:rFonts w:ascii="宋体" w:hAnsi="宋体" w:cs="宋体"/>
                <w:color w:val="auto"/>
                <w:kern w:val="0"/>
                <w:sz w:val="24"/>
              </w:rPr>
              <w:t>人</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shd w:val="clear" w:color="FFFFFF" w:fill="D9D9D9"/>
              </w:rPr>
            </w:pPr>
          </w:p>
        </w:tc>
      </w:tr>
    </w:tbl>
    <w:p>
      <w:pPr>
        <w:spacing w:before="120" w:beforeLines="50" w:line="360" w:lineRule="auto"/>
        <w:jc w:val="left"/>
        <w:outlineLvl w:val="1"/>
        <w:rPr>
          <w:rFonts w:hint="eastAsia"/>
          <w:b/>
          <w:color w:val="auto"/>
          <w:sz w:val="28"/>
          <w:szCs w:val="28"/>
        </w:rPr>
      </w:pPr>
      <w:r>
        <w:rPr>
          <w:rFonts w:hint="eastAsia"/>
          <w:b/>
          <w:color w:val="auto"/>
          <w:sz w:val="28"/>
          <w:szCs w:val="28"/>
          <w:lang w:eastAsia="zh-CN"/>
        </w:rPr>
        <w:t>四</w:t>
      </w:r>
      <w:r>
        <w:rPr>
          <w:rFonts w:hint="eastAsia"/>
          <w:b/>
          <w:color w:val="auto"/>
          <w:sz w:val="28"/>
          <w:szCs w:val="28"/>
        </w:rPr>
        <w:t>、商务要求：</w:t>
      </w:r>
    </w:p>
    <w:p>
      <w:pPr>
        <w:spacing w:line="360" w:lineRule="auto"/>
        <w:ind w:left="218" w:hanging="218" w:hangingChars="91"/>
        <w:jc w:val="left"/>
        <w:rPr>
          <w:rFonts w:hint="eastAsia" w:ascii="宋体" w:hAnsi="宋体" w:cs="宋体"/>
          <w:bCs/>
          <w:color w:val="auto"/>
          <w:sz w:val="24"/>
        </w:rPr>
      </w:pPr>
      <w:r>
        <w:rPr>
          <w:rFonts w:hint="eastAsia" w:ascii="宋体" w:hAnsi="宋体" w:cs="宋体"/>
          <w:bCs/>
          <w:color w:val="auto"/>
          <w:sz w:val="24"/>
        </w:rPr>
        <w:t>1、服务对象：</w:t>
      </w:r>
      <w:r>
        <w:rPr>
          <w:rFonts w:hint="eastAsia" w:ascii="宋体" w:hAnsi="宋体" w:cs="宋体"/>
          <w:bCs/>
          <w:color w:val="auto"/>
          <w:sz w:val="24"/>
          <w:lang w:eastAsia="zh-CN"/>
        </w:rPr>
        <w:t>佛山市高明区人民医院</w:t>
      </w:r>
      <w:r>
        <w:rPr>
          <w:rFonts w:hint="eastAsia" w:ascii="宋体" w:hAnsi="宋体" w:cs="宋体"/>
          <w:bCs/>
          <w:color w:val="auto"/>
          <w:sz w:val="24"/>
        </w:rPr>
        <w:t>。</w:t>
      </w:r>
    </w:p>
    <w:p>
      <w:pPr>
        <w:spacing w:line="360" w:lineRule="auto"/>
        <w:ind w:left="218" w:hanging="218" w:hangingChars="91"/>
        <w:jc w:val="left"/>
        <w:rPr>
          <w:rFonts w:hint="eastAsia" w:ascii="宋体" w:hAnsi="宋体" w:cs="宋体"/>
          <w:bCs/>
          <w:color w:val="auto"/>
          <w:sz w:val="24"/>
        </w:rPr>
      </w:pPr>
      <w:r>
        <w:rPr>
          <w:rFonts w:hint="eastAsia" w:ascii="宋体" w:hAnsi="宋体" w:cs="宋体"/>
          <w:bCs/>
          <w:color w:val="auto"/>
          <w:sz w:val="24"/>
        </w:rPr>
        <w:t>2、服务要求：必须符合招标文件规定、国家以及医疗行业标准。</w:t>
      </w:r>
    </w:p>
    <w:p>
      <w:pPr>
        <w:spacing w:line="360" w:lineRule="auto"/>
        <w:jc w:val="left"/>
        <w:rPr>
          <w:rFonts w:hint="eastAsia" w:ascii="宋体" w:hAnsi="宋体" w:eastAsia="宋体" w:cs="宋体"/>
          <w:bCs/>
          <w:color w:val="auto"/>
          <w:sz w:val="24"/>
          <w:lang w:eastAsia="zh-CN"/>
        </w:rPr>
      </w:pPr>
      <w:r>
        <w:rPr>
          <w:rFonts w:hint="eastAsia" w:ascii="宋体" w:hAnsi="宋体" w:cs="宋体"/>
          <w:bCs/>
          <w:color w:val="auto"/>
          <w:sz w:val="24"/>
        </w:rPr>
        <w:t>3、服务期限：</w:t>
      </w:r>
      <w:r>
        <w:rPr>
          <w:rFonts w:hint="eastAsia" w:ascii="宋体" w:hAnsi="宋体" w:cs="宋体"/>
          <w:color w:val="auto"/>
          <w:sz w:val="24"/>
        </w:rPr>
        <w:t>自合同签订生效之日起</w:t>
      </w:r>
      <w:r>
        <w:rPr>
          <w:rFonts w:hint="eastAsia" w:ascii="宋体" w:hAnsi="宋体" w:cs="宋体"/>
          <w:color w:val="auto"/>
          <w:sz w:val="24"/>
          <w:lang w:val="en-US" w:eastAsia="zh-CN"/>
        </w:rPr>
        <w:t>1</w:t>
      </w:r>
      <w:r>
        <w:rPr>
          <w:rFonts w:hint="eastAsia" w:ascii="宋体" w:hAnsi="宋体" w:cs="宋体"/>
          <w:color w:val="auto"/>
          <w:sz w:val="24"/>
        </w:rPr>
        <w:t>年。</w:t>
      </w:r>
      <w:r>
        <w:rPr>
          <w:rFonts w:hint="eastAsia" w:ascii="宋体" w:hAnsi="宋体" w:cs="宋体"/>
          <w:color w:val="auto"/>
          <w:sz w:val="24"/>
          <w:lang w:eastAsia="zh-CN"/>
        </w:rPr>
        <w:t>（如一年后没有特殊情况，可续签一年）</w:t>
      </w:r>
    </w:p>
    <w:p>
      <w:pPr>
        <w:spacing w:line="360" w:lineRule="auto"/>
        <w:jc w:val="left"/>
        <w:rPr>
          <w:rFonts w:hint="eastAsia" w:ascii="宋体" w:hAnsi="宋体" w:cs="宋体"/>
          <w:bCs/>
          <w:color w:val="auto"/>
          <w:sz w:val="24"/>
        </w:rPr>
      </w:pPr>
      <w:r>
        <w:rPr>
          <w:rFonts w:hint="eastAsia" w:ascii="宋体" w:hAnsi="宋体" w:cs="宋体"/>
          <w:bCs/>
          <w:color w:val="auto"/>
          <w:sz w:val="24"/>
        </w:rPr>
        <w:t>4、报价要求：</w:t>
      </w:r>
    </w:p>
    <w:p>
      <w:pPr>
        <w:keepNext w:val="0"/>
        <w:keepLines w:val="0"/>
        <w:pageBreakBefore w:val="0"/>
        <w:widowControl w:val="0"/>
        <w:kinsoku/>
        <w:wordWrap/>
        <w:overflowPunct/>
        <w:topLinePunct w:val="0"/>
        <w:autoSpaceDE/>
        <w:autoSpaceDN/>
        <w:bidi/>
        <w:adjustRightInd/>
        <w:snapToGrid/>
        <w:spacing w:line="360" w:lineRule="auto"/>
        <w:ind w:left="-92" w:leftChars="-44" w:firstLine="0" w:firstLineChars="0"/>
        <w:jc w:val="right"/>
        <w:textAlignment w:val="auto"/>
        <w:rPr>
          <w:rFonts w:hint="eastAsia" w:ascii="宋体" w:hAnsi="宋体" w:eastAsia="宋体" w:cs="宋体"/>
          <w:bCs/>
          <w:color w:val="auto"/>
          <w:sz w:val="24"/>
          <w:lang w:val="en-US" w:eastAsia="zh-CN"/>
        </w:rPr>
      </w:pPr>
      <w:r>
        <w:rPr>
          <w:rFonts w:hint="eastAsia" w:ascii="宋体" w:hAnsi="宋体" w:cs="宋体"/>
          <w:bCs/>
          <w:color w:val="auto"/>
          <w:sz w:val="24"/>
          <w:lang w:eastAsia="zh-CN"/>
        </w:rPr>
        <w:t>（</w:t>
      </w:r>
      <w:r>
        <w:rPr>
          <w:rFonts w:hint="eastAsia" w:ascii="宋体" w:hAnsi="宋体" w:cs="宋体"/>
          <w:bCs/>
          <w:color w:val="auto"/>
          <w:sz w:val="24"/>
          <w:lang w:val="en-US" w:eastAsia="zh-CN"/>
        </w:rPr>
        <w:t>1</w:t>
      </w:r>
      <w:r>
        <w:rPr>
          <w:rFonts w:hint="eastAsia" w:ascii="宋体" w:hAnsi="宋体" w:cs="宋体"/>
          <w:bCs/>
          <w:color w:val="auto"/>
          <w:sz w:val="24"/>
          <w:lang w:eastAsia="zh-CN"/>
        </w:rPr>
        <w:t>）</w:t>
      </w:r>
      <w:r>
        <w:rPr>
          <w:rFonts w:hint="eastAsia" w:ascii="宋体" w:hAnsi="宋体" w:cs="宋体"/>
          <w:bCs/>
          <w:color w:val="auto"/>
          <w:sz w:val="24"/>
        </w:rPr>
        <w:t>本项目服务期限</w:t>
      </w:r>
      <w:r>
        <w:rPr>
          <w:rFonts w:hint="eastAsia" w:ascii="宋体" w:hAnsi="宋体" w:cs="宋体"/>
          <w:bCs/>
          <w:color w:val="auto"/>
          <w:sz w:val="24"/>
          <w:lang w:val="en-US" w:eastAsia="zh-CN"/>
        </w:rPr>
        <w:t>1</w:t>
      </w:r>
      <w:r>
        <w:rPr>
          <w:rFonts w:hint="eastAsia" w:ascii="宋体" w:hAnsi="宋体" w:cs="宋体"/>
          <w:bCs/>
          <w:color w:val="auto"/>
          <w:sz w:val="24"/>
        </w:rPr>
        <w:t>年，投标人的报价须包含检验费、运输费、装卸费（卸至用户指定地点）、人员工资、税费等一切费用，采购人无须向中标人另外支付任何费用</w:t>
      </w:r>
      <w:r>
        <w:rPr>
          <w:rFonts w:hint="eastAsia" w:ascii="宋体" w:hAnsi="宋体" w:cs="宋体"/>
          <w:bCs/>
          <w:color w:val="auto"/>
          <w:sz w:val="24"/>
          <w:lang w:eastAsia="zh-CN"/>
        </w:rPr>
        <w:t>。</w:t>
      </w:r>
      <w:r>
        <w:rPr>
          <w:rFonts w:hint="eastAsia" w:ascii="宋体" w:hAnsi="宋体" w:cs="宋体"/>
          <w:bCs/>
          <w:color w:val="auto"/>
          <w:sz w:val="24"/>
          <w:lang w:val="en-US" w:eastAsia="zh-CN"/>
        </w:rPr>
        <w:t xml:space="preserve"> </w:t>
      </w:r>
    </w:p>
    <w:p>
      <w:pPr>
        <w:keepNext w:val="0"/>
        <w:keepLines w:val="0"/>
        <w:pageBreakBefore w:val="0"/>
        <w:widowControl w:val="0"/>
        <w:kinsoku/>
        <w:wordWrap/>
        <w:overflowPunct/>
        <w:topLinePunct w:val="0"/>
        <w:autoSpaceDE/>
        <w:autoSpaceDN/>
        <w:bidi/>
        <w:adjustRightInd/>
        <w:snapToGrid/>
        <w:spacing w:line="360" w:lineRule="auto"/>
        <w:ind w:left="0" w:hanging="638" w:hangingChars="266"/>
        <w:jc w:val="right"/>
        <w:textAlignment w:val="auto"/>
        <w:rPr>
          <w:rFonts w:hint="eastAsia" w:ascii="宋体" w:hAnsi="宋体" w:cs="宋体"/>
          <w:bCs/>
          <w:color w:val="auto"/>
          <w:sz w:val="24"/>
        </w:rPr>
      </w:pPr>
      <w:r>
        <w:rPr>
          <w:rFonts w:hint="eastAsia" w:ascii="宋体" w:hAnsi="宋体" w:cs="宋体"/>
          <w:bCs/>
          <w:color w:val="auto"/>
          <w:sz w:val="24"/>
        </w:rPr>
        <w:t>（2）投标人根据佛山市物价局及佛山市卫生局发布的</w:t>
      </w:r>
      <w:r>
        <w:rPr>
          <w:rFonts w:hint="eastAsia" w:ascii="宋体" w:hAnsi="宋体" w:cs="宋体"/>
          <w:bCs/>
          <w:color w:val="auto"/>
          <w:sz w:val="24"/>
          <w:lang w:eastAsia="zh-CN"/>
        </w:rPr>
        <w:t>最新</w:t>
      </w:r>
      <w:r>
        <w:rPr>
          <w:rFonts w:hint="eastAsia" w:ascii="宋体" w:hAnsi="宋体" w:cs="宋体"/>
          <w:bCs/>
          <w:color w:val="auto"/>
          <w:sz w:val="24"/>
        </w:rPr>
        <w:t>标准，并结合企业自身能力提供管理费率报价</w:t>
      </w:r>
    </w:p>
    <w:p>
      <w:pPr>
        <w:spacing w:line="360" w:lineRule="auto"/>
        <w:ind w:left="638" w:hanging="638" w:hangingChars="266"/>
        <w:jc w:val="left"/>
        <w:rPr>
          <w:rFonts w:hint="eastAsia" w:ascii="宋体" w:hAnsi="宋体" w:cs="宋体"/>
          <w:bCs/>
          <w:color w:val="auto"/>
          <w:sz w:val="24"/>
        </w:rPr>
      </w:pPr>
      <w:r>
        <w:rPr>
          <w:rFonts w:hint="eastAsia" w:ascii="宋体" w:hAnsi="宋体" w:cs="宋体"/>
          <w:bCs/>
          <w:color w:val="auto"/>
          <w:sz w:val="24"/>
        </w:rPr>
        <w:t>（3）管理价 = 医院上月外送检验部分的营业额×(1-管理费率)。</w:t>
      </w:r>
    </w:p>
    <w:p>
      <w:pPr>
        <w:keepNext w:val="0"/>
        <w:keepLines w:val="0"/>
        <w:widowControl/>
        <w:suppressLineNumbers w:val="0"/>
        <w:jc w:val="left"/>
        <w:rPr>
          <w:color w:val="auto"/>
        </w:rPr>
      </w:pPr>
      <w:r>
        <w:rPr>
          <w:rFonts w:hint="eastAsia" w:ascii="宋体" w:hAnsi="宋体" w:cs="宋体"/>
          <w:b/>
          <w:color w:val="auto"/>
          <w:kern w:val="0"/>
          <w:sz w:val="24"/>
          <w:szCs w:val="24"/>
          <w:lang w:val="en-US" w:eastAsia="zh-CN" w:bidi="ar"/>
        </w:rPr>
        <w:t>五</w:t>
      </w:r>
      <w:r>
        <w:rPr>
          <w:rFonts w:hint="eastAsia" w:ascii="宋体" w:hAnsi="宋体" w:eastAsia="宋体" w:cs="宋体"/>
          <w:b/>
          <w:color w:val="auto"/>
          <w:kern w:val="0"/>
          <w:sz w:val="24"/>
          <w:szCs w:val="24"/>
          <w:lang w:val="en-US" w:eastAsia="zh-CN" w:bidi="ar"/>
        </w:rPr>
        <w:t xml:space="preserve">、管理要求：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 xml:space="preserve">1、投标人需制定符合本项目要求的各项管理服务质量指标。中标后需根据采购人的要求进行适当的修改，接受采购人的监督。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 xml:space="preserve">2、投标人需建立相应的管理制度、管理架构，对各项工作流程安排情况及时通知采购 人，接受采购人监督。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 xml:space="preserve">3、投标人需接受采购人的各项监督和检查，对采购人提出的合理意见需及时作出有效响应。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 xml:space="preserve">4、投标人需为本项目能安排固定项目整理及标本接收、结果报送专职人员。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5、本项目服务期间所产生的除本项目投标报价外的其他费用，由投标人承担。</w:t>
      </w:r>
    </w:p>
    <w:p>
      <w:pPr>
        <w:spacing w:line="360" w:lineRule="auto"/>
        <w:jc w:val="left"/>
        <w:rPr>
          <w:rFonts w:hint="eastAsia" w:ascii="宋体" w:hAnsi="宋体" w:cs="宋体"/>
          <w:b/>
          <w:color w:val="auto"/>
          <w:sz w:val="24"/>
        </w:rPr>
      </w:pPr>
      <w:r>
        <w:rPr>
          <w:rFonts w:hint="eastAsia" w:ascii="宋体" w:hAnsi="宋体" w:cs="宋体"/>
          <w:b/>
          <w:color w:val="auto"/>
          <w:sz w:val="24"/>
        </w:rPr>
        <w:t>六、付款方式：</w:t>
      </w:r>
    </w:p>
    <w:p>
      <w:pPr>
        <w:spacing w:line="360" w:lineRule="auto"/>
        <w:ind w:left="218" w:hanging="218" w:hangingChars="91"/>
        <w:jc w:val="left"/>
        <w:rPr>
          <w:rFonts w:hint="eastAsia" w:ascii="宋体" w:hAnsi="宋体" w:cs="宋体"/>
          <w:bCs/>
          <w:color w:val="auto"/>
          <w:sz w:val="24"/>
        </w:rPr>
      </w:pPr>
      <w:r>
        <w:rPr>
          <w:rFonts w:hint="eastAsia" w:ascii="宋体" w:hAnsi="宋体" w:cs="宋体"/>
          <w:bCs/>
          <w:color w:val="auto"/>
          <w:sz w:val="24"/>
        </w:rPr>
        <w:t>1、结算价每月结算一次，由采购人按“医院上月外送检验部分的营业额×(1-管理费率)”结算给中标人。</w:t>
      </w:r>
    </w:p>
    <w:p>
      <w:pPr>
        <w:spacing w:line="360" w:lineRule="auto"/>
        <w:ind w:left="218" w:hanging="218" w:hangingChars="91"/>
        <w:jc w:val="left"/>
        <w:rPr>
          <w:rFonts w:hint="eastAsia" w:ascii="宋体" w:hAnsi="宋体" w:cs="宋体"/>
          <w:bCs/>
          <w:color w:val="auto"/>
          <w:sz w:val="24"/>
        </w:rPr>
      </w:pPr>
      <w:r>
        <w:rPr>
          <w:rFonts w:hint="eastAsia" w:ascii="宋体" w:hAnsi="宋体" w:cs="宋体"/>
          <w:bCs/>
          <w:color w:val="auto"/>
          <w:sz w:val="24"/>
        </w:rPr>
        <w:t>2、中标人根据采购人开具的外送检验单统计检验费用总额并开具相应的发票，采购人收到发票审核无误后需在《发票签收回执》上签字或者盖章确认。</w:t>
      </w:r>
    </w:p>
    <w:p>
      <w:pPr>
        <w:spacing w:line="360" w:lineRule="auto"/>
        <w:ind w:left="218" w:hanging="218" w:hangingChars="91"/>
        <w:jc w:val="left"/>
        <w:rPr>
          <w:rFonts w:hint="eastAsia" w:ascii="宋体" w:hAnsi="宋体" w:cs="宋体"/>
          <w:bCs/>
          <w:color w:val="auto"/>
          <w:sz w:val="24"/>
        </w:rPr>
      </w:pPr>
      <w:r>
        <w:rPr>
          <w:rFonts w:hint="eastAsia" w:ascii="宋体" w:hAnsi="宋体" w:cs="宋体"/>
          <w:bCs/>
          <w:color w:val="auto"/>
          <w:sz w:val="24"/>
        </w:rPr>
        <w:t>3、中标人凭以下有效文件与采购人结算：</w:t>
      </w:r>
    </w:p>
    <w:p>
      <w:pPr>
        <w:spacing w:line="360" w:lineRule="auto"/>
        <w:jc w:val="left"/>
        <w:rPr>
          <w:rFonts w:hint="eastAsia" w:ascii="宋体" w:hAnsi="宋体" w:cs="宋体"/>
          <w:bCs/>
          <w:color w:val="auto"/>
          <w:sz w:val="24"/>
        </w:rPr>
      </w:pPr>
      <w:r>
        <w:rPr>
          <w:rFonts w:hint="eastAsia" w:ascii="宋体" w:hAnsi="宋体" w:cs="宋体"/>
          <w:bCs/>
          <w:color w:val="auto"/>
          <w:sz w:val="24"/>
        </w:rPr>
        <w:t>（1）合同；</w:t>
      </w:r>
    </w:p>
    <w:p>
      <w:pPr>
        <w:spacing w:line="360" w:lineRule="auto"/>
        <w:jc w:val="left"/>
        <w:rPr>
          <w:rFonts w:hint="eastAsia" w:ascii="宋体" w:hAnsi="宋体" w:cs="宋体"/>
          <w:bCs/>
          <w:color w:val="auto"/>
          <w:sz w:val="24"/>
        </w:rPr>
      </w:pPr>
      <w:r>
        <w:rPr>
          <w:rFonts w:hint="eastAsia" w:ascii="宋体" w:hAnsi="宋体" w:cs="宋体"/>
          <w:bCs/>
          <w:color w:val="auto"/>
          <w:sz w:val="24"/>
        </w:rPr>
        <w:t>（2）中标人开具的正式发票；</w:t>
      </w:r>
    </w:p>
    <w:p>
      <w:pPr>
        <w:spacing w:line="360" w:lineRule="auto"/>
        <w:jc w:val="left"/>
        <w:rPr>
          <w:rFonts w:hint="eastAsia" w:ascii="宋体" w:hAnsi="宋体" w:eastAsia="宋体" w:cs="宋体"/>
          <w:bCs/>
          <w:color w:val="auto"/>
          <w:sz w:val="24"/>
          <w:lang w:eastAsia="zh-CN"/>
        </w:rPr>
      </w:pPr>
      <w:r>
        <w:rPr>
          <w:rFonts w:hint="eastAsia" w:ascii="宋体" w:hAnsi="宋体" w:cs="宋体"/>
          <w:bCs/>
          <w:color w:val="auto"/>
          <w:sz w:val="24"/>
        </w:rPr>
        <w:t>（3）中标通知书。</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EC2C0"/>
    <w:multiLevelType w:val="singleLevel"/>
    <w:tmpl w:val="8E4EC2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22EB6"/>
    <w:rsid w:val="11622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2021-12-13T03:14:00Z</dcterms:created>
  <dc:creator>剑心</dc:creator>
  <cp:lastModifiedBy>剑心</cp:lastModifiedBy>
  <dcterms:modified xsi:type="dcterms:W3CDTF">2021-12-13T03:14:56Z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8CA837160D82433D9EECAA42F3F5C435</vt:lpwstr>
  </property>
</Properties>
</file>