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bookmarkStart w:id="0" w:name="_GoBack"/>
      <w:bookmarkEnd w:id="0"/>
      <w:r>
        <w:rPr>
          <w:rFonts w:hint="eastAsia" w:ascii="宋体" w:hAnsi="宋体" w:eastAsia="宋体" w:cs="宋体"/>
          <w:b/>
          <w:i w:val="0"/>
          <w:color w:val="000000"/>
          <w:kern w:val="0"/>
          <w:sz w:val="32"/>
          <w:szCs w:val="32"/>
          <w:u w:val="none"/>
          <w:lang w:val="en-US" w:eastAsia="zh-CN" w:bidi="ar"/>
        </w:rPr>
        <w:t>附件2：药店论证条件及所需证明</w:t>
      </w:r>
    </w:p>
    <w:p/>
    <w:tbl>
      <w:tblPr>
        <w:tblW w:w="139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105"/>
        <w:gridCol w:w="10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9" w:hRule="atLeast"/>
        </w:trPr>
        <w:tc>
          <w:tcPr>
            <w:tcW w:w="310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2"/>
                <w:szCs w:val="22"/>
                <w:u w:val="none"/>
              </w:rPr>
            </w:pPr>
            <w:r>
              <w:rPr>
                <w:rFonts w:hint="default" w:ascii="仿宋_GB2312" w:hAnsi="宋体" w:eastAsia="仿宋_GB2312" w:cs="仿宋_GB2312"/>
                <w:b/>
                <w:i w:val="0"/>
                <w:color w:val="000000"/>
                <w:kern w:val="0"/>
                <w:sz w:val="22"/>
                <w:szCs w:val="22"/>
                <w:u w:val="none"/>
                <w:bdr w:val="none" w:color="auto" w:sz="0" w:space="0"/>
                <w:lang w:val="en-US" w:eastAsia="zh-CN" w:bidi="ar"/>
              </w:rPr>
              <w:t>项目</w:t>
            </w:r>
          </w:p>
        </w:tc>
        <w:tc>
          <w:tcPr>
            <w:tcW w:w="10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附件2：药店论证条件及所需证明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9" w:hRule="atLeast"/>
        </w:trPr>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bdr w:val="none" w:color="auto" w:sz="0" w:space="0"/>
                <w:lang w:val="en-US" w:eastAsia="zh-CN" w:bidi="ar"/>
              </w:rPr>
              <w:t>药店经营药品范围</w:t>
            </w:r>
          </w:p>
        </w:tc>
        <w:tc>
          <w:tcPr>
            <w:tcW w:w="10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可经营非处方药、处方药（不包括禁止类药品）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9" w:hRule="atLeast"/>
        </w:trPr>
        <w:tc>
          <w:tcPr>
            <w:tcW w:w="31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bdr w:val="none" w:color="auto" w:sz="0" w:space="0"/>
                <w:lang w:val="en-US" w:eastAsia="zh-CN" w:bidi="ar"/>
              </w:rPr>
              <w:t>药店药师配备</w:t>
            </w:r>
          </w:p>
        </w:tc>
        <w:tc>
          <w:tcPr>
            <w:tcW w:w="10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至少配备1-2名执业药师、需配备审方药师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9" w:hRule="atLeast"/>
        </w:trPr>
        <w:tc>
          <w:tcPr>
            <w:tcW w:w="3105"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bdr w:val="none" w:color="auto" w:sz="0" w:space="0"/>
                <w:lang w:val="en-US" w:eastAsia="zh-CN" w:bidi="ar"/>
              </w:rPr>
              <w:t>医保、商保定点</w:t>
            </w:r>
          </w:p>
        </w:tc>
        <w:tc>
          <w:tcPr>
            <w:tcW w:w="10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有医保定点、商保定点，需出具协议或其他相关证明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9" w:hRule="atLeast"/>
        </w:trPr>
        <w:tc>
          <w:tcPr>
            <w:tcW w:w="3105" w:type="dxa"/>
            <w:tcBorders>
              <w:top w:val="nil"/>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物流能力</w:t>
            </w:r>
          </w:p>
        </w:tc>
        <w:tc>
          <w:tcPr>
            <w:tcW w:w="10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药店需有冷链药品配送的能力，及配送至院的时效性，急送服务、夜间急送服务能力；需出具配送医院的时效、急送、夜间寄送服务能力说明函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9" w:hRule="atLeast"/>
        </w:trPr>
        <w:tc>
          <w:tcPr>
            <w:tcW w:w="310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药品储存水平</w:t>
            </w:r>
          </w:p>
        </w:tc>
        <w:tc>
          <w:tcPr>
            <w:tcW w:w="10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设施设备齐全，确保药品储存温度符合要求，需说明是否支持超低温药物的存储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9" w:hRule="atLeast"/>
        </w:trPr>
        <w:tc>
          <w:tcPr>
            <w:tcW w:w="3105" w:type="dxa"/>
            <w:tcBorders>
              <w:top w:val="nil"/>
              <w:left w:val="single" w:color="000000" w:sz="4" w:space="0"/>
              <w:bottom w:val="nil"/>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bdr w:val="none" w:color="auto" w:sz="0" w:space="0"/>
                <w:lang w:val="en-US" w:eastAsia="zh-CN" w:bidi="ar"/>
              </w:rPr>
              <w:t>参选企业药店布局</w:t>
            </w:r>
          </w:p>
        </w:tc>
        <w:tc>
          <w:tcPr>
            <w:tcW w:w="10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参选企业距离医院的距离，需附上高德或百度地图截图，以距离近为优先考虑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9" w:hRule="atLeast"/>
        </w:trPr>
        <w:tc>
          <w:tcPr>
            <w:tcW w:w="310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信息化水平</w:t>
            </w:r>
          </w:p>
        </w:tc>
        <w:tc>
          <w:tcPr>
            <w:tcW w:w="10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参选企业有信息化的进销存及质量监控系统，药店有信息管理系统并且支持与电子处方管理服务平台的对接，支持对接库存，实现实时库存及发药状态、批号效期、温度回传；愿意根据平台服务要求，配备相应的设备，如手持PDA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9" w:hRule="atLeast"/>
        </w:trPr>
        <w:tc>
          <w:tcPr>
            <w:tcW w:w="3105"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bdr w:val="none" w:color="auto" w:sz="0" w:space="0"/>
                <w:lang w:val="en-US" w:eastAsia="zh-CN" w:bidi="ar"/>
              </w:rPr>
              <w:t>项目对接经验</w:t>
            </w:r>
          </w:p>
        </w:tc>
        <w:tc>
          <w:tcPr>
            <w:tcW w:w="10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参选企业以参与医疗机构药品耗材配送或有为医院服务提供服务为优先考虑，需提供相关服务证明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9" w:hRule="atLeast"/>
        </w:trPr>
        <w:tc>
          <w:tcPr>
            <w:tcW w:w="310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bdr w:val="none" w:color="auto" w:sz="0" w:space="0"/>
                <w:lang w:val="en-US" w:eastAsia="zh-CN" w:bidi="ar"/>
              </w:rPr>
              <w:t>合规经营</w:t>
            </w:r>
          </w:p>
        </w:tc>
        <w:tc>
          <w:tcPr>
            <w:tcW w:w="10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Style w:val="4"/>
                <w:rFonts w:hAnsi="宋体"/>
                <w:bdr w:val="none" w:color="auto" w:sz="0" w:space="0"/>
                <w:lang w:val="en-US" w:eastAsia="zh-CN" w:bidi="ar"/>
              </w:rPr>
              <w:t>需提供《</w:t>
            </w:r>
            <w:r>
              <w:rPr>
                <w:rStyle w:val="5"/>
                <w:bdr w:val="none" w:color="auto" w:sz="0" w:space="0"/>
                <w:lang w:val="en-US" w:eastAsia="zh-CN" w:bidi="ar"/>
              </w:rPr>
              <w:t>无</w:t>
            </w:r>
            <w:r>
              <w:rPr>
                <w:rStyle w:val="4"/>
                <w:rFonts w:hAnsi="宋体"/>
                <w:bdr w:val="none" w:color="auto" w:sz="0" w:space="0"/>
                <w:lang w:val="en-US" w:eastAsia="zh-CN" w:bidi="ar"/>
              </w:rPr>
              <w:t>行</w:t>
            </w:r>
            <w:r>
              <w:rPr>
                <w:rStyle w:val="5"/>
                <w:bdr w:val="none" w:color="auto" w:sz="0" w:space="0"/>
                <w:lang w:val="en-US" w:eastAsia="zh-CN" w:bidi="ar"/>
              </w:rPr>
              <w:t>贿</w:t>
            </w:r>
            <w:r>
              <w:rPr>
                <w:rStyle w:val="4"/>
                <w:rFonts w:hAnsi="宋体"/>
                <w:bdr w:val="none" w:color="auto" w:sz="0" w:space="0"/>
                <w:lang w:val="en-US" w:eastAsia="zh-CN" w:bidi="ar"/>
              </w:rPr>
              <w:t>犯罪</w:t>
            </w:r>
            <w:r>
              <w:rPr>
                <w:rStyle w:val="5"/>
                <w:bdr w:val="none" w:color="auto" w:sz="0" w:space="0"/>
                <w:lang w:val="en-US" w:eastAsia="zh-CN" w:bidi="ar"/>
              </w:rPr>
              <w:t>记录证</w:t>
            </w:r>
            <w:r>
              <w:rPr>
                <w:rStyle w:val="4"/>
                <w:rFonts w:hAnsi="宋体"/>
                <w:bdr w:val="none" w:color="auto" w:sz="0" w:space="0"/>
                <w:lang w:val="en-US" w:eastAsia="zh-CN" w:bidi="ar"/>
              </w:rPr>
              <w:t>明》；中</w:t>
            </w:r>
            <w:r>
              <w:rPr>
                <w:rStyle w:val="5"/>
                <w:bdr w:val="none" w:color="auto" w:sz="0" w:space="0"/>
                <w:lang w:val="en-US" w:eastAsia="zh-CN" w:bidi="ar"/>
              </w:rPr>
              <w:t>国</w:t>
            </w:r>
            <w:r>
              <w:rPr>
                <w:rStyle w:val="4"/>
                <w:rFonts w:hAnsi="宋体"/>
                <w:bdr w:val="none" w:color="auto" w:sz="0" w:space="0"/>
                <w:lang w:val="en-US" w:eastAsia="zh-CN" w:bidi="ar"/>
              </w:rPr>
              <w:t>信用网站上查询</w:t>
            </w:r>
            <w:r>
              <w:rPr>
                <w:rStyle w:val="5"/>
                <w:bdr w:val="none" w:color="auto" w:sz="0" w:space="0"/>
                <w:lang w:val="en-US" w:eastAsia="zh-CN" w:bidi="ar"/>
              </w:rPr>
              <w:t>无违规违</w:t>
            </w:r>
            <w:r>
              <w:rPr>
                <w:rStyle w:val="4"/>
                <w:rFonts w:hAnsi="宋体"/>
                <w:bdr w:val="none" w:color="auto" w:sz="0" w:space="0"/>
                <w:lang w:val="en-US" w:eastAsia="zh-CN" w:bidi="ar"/>
              </w:rPr>
              <w:t>法</w:t>
            </w:r>
            <w:r>
              <w:rPr>
                <w:rStyle w:val="5"/>
                <w:bdr w:val="none" w:color="auto" w:sz="0" w:space="0"/>
                <w:lang w:val="en-US" w:eastAsia="zh-CN" w:bidi="ar"/>
              </w:rPr>
              <w:t>证</w:t>
            </w:r>
            <w:r>
              <w:rPr>
                <w:rStyle w:val="4"/>
                <w:rFonts w:hAnsi="宋体"/>
                <w:bdr w:val="none" w:color="auto" w:sz="0" w:space="0"/>
                <w:lang w:val="en-US" w:eastAsia="zh-CN" w:bidi="ar"/>
              </w:rPr>
              <w:t>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9" w:hRule="atLeast"/>
        </w:trPr>
        <w:tc>
          <w:tcPr>
            <w:tcW w:w="3105"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其他</w:t>
            </w:r>
          </w:p>
        </w:tc>
        <w:tc>
          <w:tcPr>
            <w:tcW w:w="10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1、支持签署信息保密协议，保护消费者信息；支持签署质量保证协议；需提供服务承诺函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9" w:hRule="atLeast"/>
        </w:trPr>
        <w:tc>
          <w:tcPr>
            <w:tcW w:w="310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2、需按照国家GSP及零售药店相关管理标准及政策规范经营；需提供服务承诺函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9" w:hRule="atLeast"/>
        </w:trPr>
        <w:tc>
          <w:tcPr>
            <w:tcW w:w="310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3、需按照国家税务管理要求为消费者提供付款凭据、提供发票；需提供服务承诺函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9" w:hRule="atLeast"/>
        </w:trPr>
        <w:tc>
          <w:tcPr>
            <w:tcW w:w="310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4、服务药店对于不良反应药品积极配合履行召回义务，及时传达、反馈药品召回信息，控制和回收存在安全隐患的药品；需提供服务承诺函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9" w:hRule="atLeast"/>
        </w:trPr>
        <w:tc>
          <w:tcPr>
            <w:tcW w:w="310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5、积极配合医院监管、药监及相关监管部门的检查、信息查询等；需提供服务承诺函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9" w:hRule="atLeast"/>
        </w:trPr>
        <w:tc>
          <w:tcPr>
            <w:tcW w:w="3105"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82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6、药品目录供应匹配度</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A5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21"/>
    <w:basedOn w:val="3"/>
    <w:uiPriority w:val="0"/>
    <w:rPr>
      <w:rFonts w:hint="default" w:ascii="仿宋_GB2312" w:eastAsia="仿宋_GB2312" w:cs="仿宋_GB2312"/>
      <w:color w:val="000000"/>
      <w:sz w:val="21"/>
      <w:szCs w:val="21"/>
      <w:u w:val="none"/>
    </w:rPr>
  </w:style>
  <w:style w:type="character" w:customStyle="1" w:styleId="5">
    <w:name w:val="font11"/>
    <w:basedOn w:val="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2022-07-31T01:49:29Z</dcterms:created>
  <dc:creator>Administrator</dc:creator>
  <cp:lastModifiedBy>黄河之子</cp:lastModifiedBy>
  <dcterms:modified xsi:type="dcterms:W3CDTF">2022-07-31T01:50:51Z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