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68"/>
        </w:rPr>
      </w:pPr>
    </w:p>
    <w:p>
      <w:pPr>
        <w:jc w:val="center"/>
        <w:rPr>
          <w:sz w:val="68"/>
        </w:rPr>
      </w:pPr>
    </w:p>
    <w:p>
      <w:pPr>
        <w:jc w:val="center"/>
        <w:rPr>
          <w:sz w:val="68"/>
        </w:rPr>
      </w:pPr>
    </w:p>
    <w:p>
      <w:pPr>
        <w:jc w:val="center"/>
      </w:pPr>
    </w:p>
    <w:p>
      <w:pPr>
        <w:jc w:val="center"/>
      </w:pPr>
      <w:r>
        <w:rPr>
          <w:sz w:val="68"/>
        </w:rPr>
        <w:t>合同书</w:t>
      </w:r>
    </w:p>
    <w:p>
      <w:pPr>
        <w:jc w:val="center"/>
      </w:pPr>
    </w:p>
    <w:p>
      <w:pPr>
        <w:jc w:val="center"/>
      </w:pPr>
    </w:p>
    <w:p>
      <w:pPr>
        <w:jc w:val="center"/>
      </w:pPr>
    </w:p>
    <w:p>
      <w:pPr>
        <w:ind w:firstLine="993"/>
      </w:pPr>
      <w:r>
        <w:rPr>
          <w:b/>
          <w:sz w:val="24"/>
        </w:rPr>
        <w:t>项目编号：</w:t>
      </w:r>
      <w:r>
        <w:rPr>
          <w:b/>
          <w:u w:val="single"/>
        </w:rPr>
        <w:t xml:space="preserve">                   </w:t>
      </w:r>
    </w:p>
    <w:p>
      <w:pPr>
        <w:ind w:firstLine="993"/>
        <w:rPr>
          <w:rFonts w:hint="eastAsia" w:eastAsia="宋体"/>
          <w:lang w:eastAsia="zh-CN"/>
        </w:rPr>
      </w:pPr>
      <w:r>
        <w:rPr>
          <w:b/>
          <w:sz w:val="24"/>
        </w:rPr>
        <w:t>项目名称：</w:t>
      </w:r>
      <w:r>
        <w:rPr>
          <w:rFonts w:hint="eastAsia"/>
          <w:b/>
          <w:sz w:val="24"/>
          <w:u w:val="single"/>
          <w:lang w:eastAsia="zh-CN"/>
        </w:rPr>
        <w:t>高明区人民医院扩容提质工程项目施工前房屋完损性鉴定费用</w:t>
      </w:r>
    </w:p>
    <w:p>
      <w:pPr>
        <w:jc w:val="center"/>
      </w:pPr>
    </w:p>
    <w:p>
      <w:pPr>
        <w:jc w:val="center"/>
      </w:pPr>
    </w:p>
    <w:p>
      <w:pPr>
        <w:jc w:val="center"/>
      </w:pP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87"/>
        <w:gridCol w:w="64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87" w:type="dxa"/>
            <w:tcBorders>
              <w:top w:val="nil"/>
              <w:left w:val="nil"/>
              <w:bottom w:val="nil"/>
              <w:right w:val="nil"/>
            </w:tcBorders>
            <w:vAlign w:val="top"/>
          </w:tcPr>
          <w:p>
            <w:pPr>
              <w:jc w:val="center"/>
            </w:pPr>
            <w:r>
              <w:rPr>
                <w:sz w:val="28"/>
              </w:rPr>
              <w:t>甲   方：</w:t>
            </w:r>
          </w:p>
        </w:tc>
        <w:tc>
          <w:tcPr>
            <w:tcW w:w="6419" w:type="dxa"/>
            <w:tcBorders>
              <w:top w:val="nil"/>
              <w:left w:val="nil"/>
              <w:bottom w:val="nil"/>
              <w:right w:val="nil"/>
            </w:tcBorders>
            <w:vAlign w:val="top"/>
          </w:tcPr>
          <w:p>
            <w:pPr>
              <w:jc w:val="left"/>
              <w:rPr>
                <w:rFonts w:hint="eastAsia" w:eastAsia="宋体"/>
                <w:lang w:eastAsia="zh-CN"/>
              </w:rPr>
            </w:pPr>
            <w:r>
              <w:rPr>
                <w:rFonts w:hint="eastAsia"/>
                <w:sz w:val="28"/>
                <w:u w:val="single"/>
                <w:lang w:eastAsia="zh-CN"/>
              </w:rPr>
              <w:t>佛山市高明区人民医院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87" w:type="dxa"/>
            <w:tcBorders>
              <w:top w:val="nil"/>
              <w:left w:val="nil"/>
              <w:bottom w:val="nil"/>
              <w:right w:val="nil"/>
            </w:tcBorders>
            <w:vAlign w:val="top"/>
          </w:tcPr>
          <w:p>
            <w:pPr>
              <w:jc w:val="center"/>
            </w:pPr>
            <w:r>
              <w:rPr>
                <w:sz w:val="28"/>
              </w:rPr>
              <w:t>乙   方：</w:t>
            </w:r>
          </w:p>
        </w:tc>
        <w:tc>
          <w:tcPr>
            <w:tcW w:w="6419" w:type="dxa"/>
            <w:tcBorders>
              <w:top w:val="nil"/>
              <w:left w:val="nil"/>
              <w:bottom w:val="nil"/>
              <w:right w:val="nil"/>
            </w:tcBorders>
            <w:vAlign w:val="top"/>
          </w:tcPr>
          <w:p>
            <w:pPr>
              <w:jc w:val="left"/>
            </w:pPr>
            <w:r>
              <w:rPr>
                <w:sz w:val="28"/>
                <w:u w:val="single"/>
              </w:rPr>
              <w:t xml:space="preserve">  （中标人名称）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87" w:type="dxa"/>
            <w:tcBorders>
              <w:top w:val="nil"/>
              <w:left w:val="nil"/>
              <w:bottom w:val="nil"/>
              <w:right w:val="nil"/>
            </w:tcBorders>
            <w:vAlign w:val="top"/>
          </w:tcPr>
          <w:p>
            <w:pPr>
              <w:jc w:val="center"/>
            </w:pPr>
            <w:r>
              <w:rPr>
                <w:sz w:val="28"/>
              </w:rPr>
              <w:t>签订日期：</w:t>
            </w:r>
          </w:p>
        </w:tc>
        <w:tc>
          <w:tcPr>
            <w:tcW w:w="6419" w:type="dxa"/>
            <w:tcBorders>
              <w:top w:val="nil"/>
              <w:left w:val="nil"/>
              <w:bottom w:val="nil"/>
              <w:right w:val="nil"/>
            </w:tcBorders>
            <w:vAlign w:val="top"/>
          </w:tcPr>
          <w:p>
            <w:pPr>
              <w:jc w:val="left"/>
            </w:pPr>
            <w:r>
              <w:rPr>
                <w:sz w:val="19"/>
                <w:u w:val="single"/>
              </w:rPr>
              <w:t xml:space="preserve">       </w:t>
            </w:r>
            <w:r>
              <w:rPr>
                <w:sz w:val="28"/>
                <w:u w:val="single"/>
              </w:rPr>
              <w:t>年</w:t>
            </w:r>
            <w:r>
              <w:rPr>
                <w:sz w:val="19"/>
                <w:u w:val="single"/>
              </w:rPr>
              <w:t xml:space="preserve">   </w:t>
            </w:r>
            <w:r>
              <w:rPr>
                <w:sz w:val="28"/>
                <w:u w:val="single"/>
              </w:rPr>
              <w:t>月</w:t>
            </w:r>
            <w:r>
              <w:rPr>
                <w:sz w:val="19"/>
                <w:u w:val="single"/>
              </w:rPr>
              <w:t xml:space="preserve">    </w:t>
            </w:r>
            <w:r>
              <w:rPr>
                <w:sz w:val="28"/>
                <w:u w:val="single"/>
              </w:rPr>
              <w:t xml:space="preserve">日       </w:t>
            </w:r>
          </w:p>
        </w:tc>
      </w:tr>
    </w:tbl>
    <w:p>
      <w:pPr>
        <w:jc w:val="center"/>
      </w:pPr>
    </w:p>
    <w:p>
      <w:pPr>
        <w:jc w:val="left"/>
      </w:pPr>
    </w:p>
    <w:p/>
    <w:p>
      <w:r>
        <w:t xml:space="preserve"> </w:t>
      </w:r>
    </w:p>
    <w:p>
      <w:pPr>
        <w:rPr>
          <w:b/>
          <w:sz w:val="44"/>
        </w:rPr>
      </w:pPr>
      <w:r>
        <w:rPr>
          <w:b/>
          <w:sz w:val="44"/>
        </w:rPr>
        <w:br w:type="page"/>
      </w:r>
    </w:p>
    <w:p>
      <w:pPr>
        <w:jc w:val="center"/>
      </w:pPr>
      <w:bookmarkStart w:id="0" w:name="_GoBack"/>
      <w:bookmarkEnd w:id="0"/>
      <w:r>
        <w:rPr>
          <w:b/>
          <w:sz w:val="44"/>
        </w:rPr>
        <w:t>项目合同书</w:t>
      </w:r>
    </w:p>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35"/>
        <w:gridCol w:w="66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5" w:type="dxa"/>
            <w:tcBorders>
              <w:top w:val="nil"/>
              <w:left w:val="nil"/>
              <w:bottom w:val="nil"/>
              <w:right w:val="nil"/>
            </w:tcBorders>
            <w:vAlign w:val="top"/>
          </w:tcPr>
          <w:p>
            <w:r>
              <w:rPr>
                <w:b/>
                <w:sz w:val="24"/>
              </w:rPr>
              <w:t>项目名称</w:t>
            </w:r>
            <w:r>
              <w:rPr>
                <w:b/>
                <w:sz w:val="21"/>
              </w:rPr>
              <w:t>：</w:t>
            </w:r>
          </w:p>
        </w:tc>
        <w:tc>
          <w:tcPr>
            <w:tcW w:w="6671" w:type="dxa"/>
            <w:tcBorders>
              <w:top w:val="nil"/>
              <w:left w:val="nil"/>
              <w:bottom w:val="nil"/>
              <w:right w:val="nil"/>
            </w:tcBorders>
            <w:vAlign w:val="top"/>
          </w:tcPr>
          <w:p>
            <w:pPr>
              <w:rPr>
                <w:rFonts w:hint="eastAsia" w:eastAsia="宋体"/>
                <w:lang w:eastAsia="zh-CN"/>
              </w:rPr>
            </w:pPr>
            <w:r>
              <w:rPr>
                <w:rFonts w:hint="eastAsia"/>
                <w:sz w:val="24"/>
                <w:u w:val="single"/>
                <w:lang w:eastAsia="zh-CN"/>
              </w:rPr>
              <w:t>高明区人民医院扩容提质工程项目施工前房屋完损性鉴定费用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5" w:type="dxa"/>
            <w:tcBorders>
              <w:top w:val="nil"/>
              <w:left w:val="nil"/>
              <w:bottom w:val="nil"/>
              <w:right w:val="nil"/>
            </w:tcBorders>
            <w:vAlign w:val="top"/>
          </w:tcPr>
          <w:p>
            <w:r>
              <w:rPr>
                <w:b/>
                <w:sz w:val="24"/>
              </w:rPr>
              <w:t>项目编号：</w:t>
            </w:r>
          </w:p>
        </w:tc>
        <w:tc>
          <w:tcPr>
            <w:tcW w:w="6671" w:type="dxa"/>
            <w:tcBorders>
              <w:top w:val="nil"/>
              <w:left w:val="nil"/>
              <w:bottom w:val="nil"/>
              <w:right w:val="nil"/>
            </w:tcBorders>
            <w:vAlign w:val="top"/>
          </w:tcPr>
          <w:p>
            <w:r>
              <w:rPr>
                <w:sz w:val="19"/>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5" w:type="dxa"/>
            <w:tcBorders>
              <w:top w:val="nil"/>
              <w:left w:val="nil"/>
              <w:bottom w:val="nil"/>
              <w:right w:val="nil"/>
            </w:tcBorders>
            <w:vAlign w:val="top"/>
          </w:tcPr>
          <w:p>
            <w:r>
              <w:rPr>
                <w:b/>
                <w:sz w:val="24"/>
              </w:rPr>
              <w:t>甲</w:t>
            </w:r>
            <w:r>
              <w:rPr>
                <w:b/>
                <w:sz w:val="19"/>
              </w:rPr>
              <w:t xml:space="preserve">    </w:t>
            </w:r>
            <w:r>
              <w:rPr>
                <w:b/>
                <w:sz w:val="24"/>
              </w:rPr>
              <w:t>方：</w:t>
            </w:r>
          </w:p>
        </w:tc>
        <w:tc>
          <w:tcPr>
            <w:tcW w:w="6671" w:type="dxa"/>
            <w:tcBorders>
              <w:top w:val="nil"/>
              <w:left w:val="nil"/>
              <w:bottom w:val="nil"/>
              <w:right w:val="nil"/>
            </w:tcBorders>
            <w:vAlign w:val="top"/>
          </w:tcPr>
          <w:p>
            <w:r>
              <w:rPr>
                <w:rFonts w:hint="eastAsia"/>
                <w:sz w:val="24"/>
                <w:u w:val="single"/>
                <w:lang w:eastAsia="zh-CN"/>
              </w:rPr>
              <w:t>佛山市高明区人民医院</w:t>
            </w:r>
            <w:r>
              <w:rPr>
                <w:sz w:val="24"/>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35" w:type="dxa"/>
            <w:tcBorders>
              <w:top w:val="nil"/>
              <w:left w:val="nil"/>
              <w:bottom w:val="nil"/>
              <w:right w:val="nil"/>
            </w:tcBorders>
            <w:vAlign w:val="top"/>
          </w:tcPr>
          <w:p>
            <w:r>
              <w:rPr>
                <w:b/>
                <w:sz w:val="24"/>
              </w:rPr>
              <w:t>乙   方：</w:t>
            </w:r>
          </w:p>
        </w:tc>
        <w:tc>
          <w:tcPr>
            <w:tcW w:w="6671" w:type="dxa"/>
            <w:tcBorders>
              <w:top w:val="nil"/>
              <w:left w:val="nil"/>
              <w:bottom w:val="nil"/>
              <w:right w:val="nil"/>
            </w:tcBorders>
            <w:vAlign w:val="top"/>
          </w:tcPr>
          <w:p>
            <w:r>
              <w:rPr>
                <w:sz w:val="24"/>
                <w:u w:val="single"/>
              </w:rPr>
              <w:t xml:space="preserve">（中标人）                                </w:t>
            </w:r>
          </w:p>
        </w:tc>
      </w:tr>
    </w:tbl>
    <w:p/>
    <w:p>
      <w:pPr>
        <w:ind w:firstLine="420"/>
      </w:pPr>
      <w:r>
        <w:rPr>
          <w:sz w:val="24"/>
        </w:rPr>
        <w:t>根据《中华人民共和国政府采购法》《中华人民共和国民法典》和本项目采购文件的要求，经双方协商，本着平等互利和诚实信用的原则，一致同意签订本合同如下。</w:t>
      </w:r>
    </w:p>
    <w:p>
      <w:r>
        <w:rPr>
          <w:b/>
          <w:sz w:val="24"/>
        </w:rPr>
        <w:t>一、项目主要内容及实现功能目标：</w:t>
      </w:r>
    </w:p>
    <w:p>
      <w:pPr>
        <w:ind w:firstLine="480"/>
      </w:pPr>
      <w:r>
        <w:rPr>
          <w:sz w:val="24"/>
        </w:rPr>
        <w:t>1、工程概况</w:t>
      </w:r>
    </w:p>
    <w:p>
      <w:pPr>
        <w:ind w:firstLine="480"/>
      </w:pPr>
      <w:r>
        <w:rPr>
          <w:rFonts w:hint="eastAsia"/>
          <w:sz w:val="24"/>
        </w:rPr>
        <w:t>对高明区人民医院扩容提质工程项目施工周边建、构筑物的完损程度进行鉴定，并作好施工前证据保存，以便施工过程中及时采取相关措施，施工后能明确区分房屋的损坏责任，确保上述工程施工期间界定房屋损坏责任；减少因施工导致的纠纷，为高明区人民医院扩容提质工程项目施工提供科学依据，本次鉴定建筑面积约15614.00㎡</w:t>
      </w:r>
      <w:r>
        <w:rPr>
          <w:sz w:val="24"/>
        </w:rPr>
        <w:t>。</w:t>
      </w:r>
    </w:p>
    <w:p>
      <w:pPr>
        <w:ind w:firstLine="480"/>
        <w:rPr>
          <w:rFonts w:hint="eastAsia"/>
          <w:sz w:val="24"/>
        </w:rPr>
      </w:pPr>
      <w:r>
        <w:rPr>
          <w:sz w:val="24"/>
        </w:rPr>
        <w:t>2、</w:t>
      </w:r>
      <w:r>
        <w:rPr>
          <w:rFonts w:hint="eastAsia"/>
          <w:sz w:val="24"/>
        </w:rPr>
        <w:t>鉴定目的</w:t>
      </w:r>
    </w:p>
    <w:p>
      <w:pPr>
        <w:ind w:firstLine="480"/>
        <w:rPr>
          <w:rFonts w:hint="eastAsia"/>
          <w:sz w:val="24"/>
        </w:rPr>
      </w:pPr>
      <w:r>
        <w:rPr>
          <w:rFonts w:hint="eastAsia"/>
          <w:sz w:val="24"/>
          <w:lang w:val="en-US" w:eastAsia="zh-CN"/>
        </w:rPr>
        <w:t>2.1</w:t>
      </w:r>
      <w:r>
        <w:rPr>
          <w:rFonts w:hint="eastAsia"/>
          <w:sz w:val="24"/>
        </w:rPr>
        <w:t>了解项目施工工地周边既有建筑物的完损性，保证既有建筑正常使用功能。通过施工前对周边房屋的完损性鉴定与检查，明确周边房屋现时的完损性，分析既有建筑的适时状况，以便在施工中及时加强支护措施，施工后能明确区分房屋的损坏责任。</w:t>
      </w:r>
    </w:p>
    <w:p>
      <w:pPr>
        <w:ind w:firstLine="480"/>
        <w:rPr>
          <w:rFonts w:hint="eastAsia"/>
          <w:sz w:val="24"/>
        </w:rPr>
      </w:pPr>
      <w:r>
        <w:rPr>
          <w:rFonts w:hint="eastAsia"/>
          <w:sz w:val="24"/>
          <w:lang w:val="en-US" w:eastAsia="zh-CN"/>
        </w:rPr>
        <w:t>2.2</w:t>
      </w:r>
      <w:r>
        <w:rPr>
          <w:rFonts w:hint="eastAsia"/>
          <w:sz w:val="24"/>
        </w:rPr>
        <w:t>对该项目工程施工周边房屋情况进行详细的记录。</w:t>
      </w:r>
    </w:p>
    <w:p>
      <w:pPr>
        <w:ind w:firstLine="480"/>
        <w:rPr>
          <w:rFonts w:hint="eastAsia"/>
          <w:sz w:val="24"/>
        </w:rPr>
      </w:pPr>
      <w:r>
        <w:rPr>
          <w:rFonts w:hint="eastAsia"/>
          <w:sz w:val="24"/>
          <w:lang w:val="en-US" w:eastAsia="zh-CN"/>
        </w:rPr>
        <w:t>2.3</w:t>
      </w:r>
      <w:r>
        <w:rPr>
          <w:rFonts w:hint="eastAsia"/>
          <w:sz w:val="24"/>
        </w:rPr>
        <w:t>依据施工前、施工中、施工后相对比的鉴定结果，明确双方责任。</w:t>
      </w:r>
    </w:p>
    <w:p>
      <w:pPr>
        <w:ind w:firstLine="480"/>
        <w:rPr>
          <w:rFonts w:hint="eastAsia"/>
          <w:sz w:val="24"/>
        </w:rPr>
      </w:pPr>
      <w:r>
        <w:rPr>
          <w:rFonts w:hint="eastAsia"/>
          <w:sz w:val="24"/>
          <w:lang w:val="en-US" w:eastAsia="zh-CN"/>
        </w:rPr>
        <w:t>3、</w:t>
      </w:r>
      <w:r>
        <w:rPr>
          <w:rFonts w:hint="eastAsia"/>
          <w:sz w:val="24"/>
        </w:rPr>
        <w:t>鉴定内容</w:t>
      </w:r>
    </w:p>
    <w:p>
      <w:pPr>
        <w:ind w:firstLine="480"/>
        <w:rPr>
          <w:rFonts w:hint="eastAsia"/>
          <w:sz w:val="24"/>
        </w:rPr>
      </w:pPr>
      <w:r>
        <w:rPr>
          <w:rFonts w:hint="eastAsia"/>
          <w:sz w:val="24"/>
        </w:rPr>
        <w:t>根据该工程的实际情况，本次施工工地周边房屋完损性鉴定主要进行如下项目：</w:t>
      </w:r>
    </w:p>
    <w:p>
      <w:pPr>
        <w:ind w:firstLine="480"/>
        <w:rPr>
          <w:rFonts w:hint="eastAsia"/>
          <w:sz w:val="24"/>
        </w:rPr>
      </w:pPr>
      <w:r>
        <w:rPr>
          <w:rFonts w:hint="eastAsia"/>
          <w:sz w:val="24"/>
        </w:rPr>
        <w:t>详细检查上述工地周边建筑物主体结构、室内、外地台等的损伤情况，并作详尽的记录（包含裂缝走向、形式、长度、宽度等）和相片资料保存。记录内容包括整体倾斜、结构变形、损伤老化、裂缝反应等实际情况。</w:t>
      </w:r>
    </w:p>
    <w:p>
      <w:pPr>
        <w:ind w:firstLine="480"/>
        <w:rPr>
          <w:rFonts w:hint="eastAsia"/>
          <w:sz w:val="24"/>
        </w:rPr>
      </w:pPr>
      <w:r>
        <w:rPr>
          <w:rFonts w:hint="eastAsia"/>
          <w:sz w:val="24"/>
        </w:rPr>
        <w:fldChar w:fldCharType="begin"/>
      </w:r>
      <w:r>
        <w:rPr>
          <w:rFonts w:hint="eastAsia"/>
          <w:sz w:val="24"/>
        </w:rPr>
        <w:instrText xml:space="preserve"> = 1 \* GB2 </w:instrText>
      </w:r>
      <w:r>
        <w:rPr>
          <w:rFonts w:hint="eastAsia"/>
          <w:sz w:val="24"/>
        </w:rPr>
        <w:fldChar w:fldCharType="separate"/>
      </w:r>
      <w:r>
        <w:rPr>
          <w:rFonts w:hint="eastAsia"/>
          <w:sz w:val="24"/>
        </w:rPr>
        <w:t>⑴</w:t>
      </w:r>
      <w:r>
        <w:rPr>
          <w:rFonts w:hint="eastAsia"/>
          <w:sz w:val="24"/>
        </w:rPr>
        <w:fldChar w:fldCharType="end"/>
      </w:r>
      <w:r>
        <w:rPr>
          <w:rFonts w:hint="eastAsia"/>
          <w:sz w:val="24"/>
        </w:rPr>
        <w:t xml:space="preserve"> 资料调查：</w:t>
      </w:r>
    </w:p>
    <w:p>
      <w:pPr>
        <w:ind w:firstLine="480"/>
        <w:rPr>
          <w:rFonts w:hint="eastAsia"/>
          <w:sz w:val="24"/>
        </w:rPr>
      </w:pP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 xml:space="preserve"> 对房屋的建筑年代、结构类型、使用用途进行调成了解；</w:t>
      </w:r>
    </w:p>
    <w:p>
      <w:pPr>
        <w:ind w:firstLine="480"/>
        <w:rPr>
          <w:rFonts w:hint="eastAsia"/>
          <w:sz w:val="24"/>
        </w:rPr>
      </w:pP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 xml:space="preserve"> 对房屋使用过程中的修缮、改造、扩建情况，用途变更、使用条件改变等进行调查了解；</w:t>
      </w:r>
    </w:p>
    <w:p>
      <w:pPr>
        <w:ind w:firstLine="480"/>
        <w:rPr>
          <w:rFonts w:hint="eastAsia"/>
          <w:sz w:val="24"/>
        </w:rPr>
      </w:pPr>
      <w:r>
        <w:rPr>
          <w:rFonts w:hint="eastAsia"/>
          <w:sz w:val="24"/>
        </w:rPr>
        <w:fldChar w:fldCharType="begin"/>
      </w:r>
      <w:r>
        <w:rPr>
          <w:rFonts w:hint="eastAsia"/>
          <w:sz w:val="24"/>
        </w:rPr>
        <w:instrText xml:space="preserve"> = 3 \* GB3 </w:instrText>
      </w:r>
      <w:r>
        <w:rPr>
          <w:rFonts w:hint="eastAsia"/>
          <w:sz w:val="24"/>
        </w:rPr>
        <w:fldChar w:fldCharType="separate"/>
      </w:r>
      <w:r>
        <w:rPr>
          <w:rFonts w:hint="eastAsia"/>
          <w:sz w:val="24"/>
        </w:rPr>
        <w:t>③</w:t>
      </w:r>
      <w:r>
        <w:rPr>
          <w:rFonts w:hint="eastAsia"/>
          <w:sz w:val="24"/>
        </w:rPr>
        <w:fldChar w:fldCharType="end"/>
      </w:r>
      <w:r>
        <w:rPr>
          <w:rFonts w:hint="eastAsia"/>
          <w:sz w:val="24"/>
        </w:rPr>
        <w:t xml:space="preserve"> 对该项目的基本情况，包括施工场地平面图、场地地质资料、开工时间、施工工期、施工方案等进行调查了解。</w:t>
      </w:r>
    </w:p>
    <w:p>
      <w:pPr>
        <w:ind w:firstLine="480"/>
        <w:rPr>
          <w:rFonts w:hint="eastAsia"/>
          <w:sz w:val="24"/>
        </w:rPr>
      </w:pPr>
      <w:r>
        <w:rPr>
          <w:rFonts w:hint="eastAsia"/>
          <w:sz w:val="24"/>
        </w:rPr>
        <w:fldChar w:fldCharType="begin"/>
      </w:r>
      <w:r>
        <w:rPr>
          <w:rFonts w:hint="eastAsia"/>
          <w:sz w:val="24"/>
        </w:rPr>
        <w:instrText xml:space="preserve"> = 2 \* GB2 </w:instrText>
      </w:r>
      <w:r>
        <w:rPr>
          <w:rFonts w:hint="eastAsia"/>
          <w:sz w:val="24"/>
        </w:rPr>
        <w:fldChar w:fldCharType="separate"/>
      </w:r>
      <w:r>
        <w:rPr>
          <w:rFonts w:hint="eastAsia"/>
          <w:sz w:val="24"/>
        </w:rPr>
        <w:t>⑵</w:t>
      </w:r>
      <w:r>
        <w:rPr>
          <w:rFonts w:hint="eastAsia"/>
          <w:sz w:val="24"/>
        </w:rPr>
        <w:fldChar w:fldCharType="end"/>
      </w:r>
      <w:r>
        <w:rPr>
          <w:rFonts w:hint="eastAsia"/>
          <w:sz w:val="24"/>
        </w:rPr>
        <w:t xml:space="preserve"> 检查房屋地基情况及检测房屋垂直度：</w:t>
      </w:r>
    </w:p>
    <w:p>
      <w:pPr>
        <w:ind w:firstLine="480"/>
        <w:rPr>
          <w:rFonts w:hint="eastAsia"/>
          <w:sz w:val="24"/>
        </w:rPr>
      </w:pP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 xml:space="preserve"> 检查基础是否有不均匀沉降迹象；</w:t>
      </w:r>
    </w:p>
    <w:p>
      <w:pPr>
        <w:ind w:firstLine="480"/>
        <w:rPr>
          <w:rFonts w:hint="eastAsia"/>
          <w:sz w:val="24"/>
        </w:rPr>
      </w:pP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 xml:space="preserve"> 检查室内、外地台是否有沉降裂缝，室外墙脚是否与地台有分离裂缝，并记录裂缝的走向、形式、长度、宽度等；</w:t>
      </w:r>
    </w:p>
    <w:p>
      <w:pPr>
        <w:ind w:firstLine="480"/>
        <w:rPr>
          <w:rFonts w:hint="eastAsia"/>
          <w:sz w:val="24"/>
        </w:rPr>
      </w:pPr>
      <w:r>
        <w:rPr>
          <w:rFonts w:hint="eastAsia"/>
          <w:sz w:val="24"/>
        </w:rPr>
        <w:fldChar w:fldCharType="begin"/>
      </w:r>
      <w:r>
        <w:rPr>
          <w:rFonts w:hint="eastAsia"/>
          <w:sz w:val="24"/>
        </w:rPr>
        <w:instrText xml:space="preserve"> = 3 \* GB3 </w:instrText>
      </w:r>
      <w:r>
        <w:rPr>
          <w:rFonts w:hint="eastAsia"/>
          <w:sz w:val="24"/>
        </w:rPr>
        <w:fldChar w:fldCharType="separate"/>
      </w:r>
      <w:r>
        <w:rPr>
          <w:rFonts w:hint="eastAsia"/>
          <w:sz w:val="24"/>
        </w:rPr>
        <w:t>③</w:t>
      </w:r>
      <w:r>
        <w:rPr>
          <w:rFonts w:hint="eastAsia"/>
          <w:sz w:val="24"/>
        </w:rPr>
        <w:fldChar w:fldCharType="end"/>
      </w:r>
      <w:r>
        <w:rPr>
          <w:rFonts w:hint="eastAsia"/>
          <w:sz w:val="24"/>
        </w:rPr>
        <w:t xml:space="preserve"> 根据现场条件，使用电子经纬仪或线锤对房屋进行垂直度测量，采集房屋倾斜分量，并计算出房屋垂直度。</w:t>
      </w:r>
    </w:p>
    <w:p>
      <w:pPr>
        <w:ind w:firstLine="480"/>
        <w:rPr>
          <w:rFonts w:hint="eastAsia"/>
          <w:sz w:val="24"/>
        </w:rPr>
      </w:pPr>
      <w:r>
        <w:rPr>
          <w:rFonts w:hint="eastAsia"/>
          <w:sz w:val="24"/>
        </w:rPr>
        <w:fldChar w:fldCharType="begin"/>
      </w:r>
      <w:r>
        <w:rPr>
          <w:rFonts w:hint="eastAsia"/>
          <w:sz w:val="24"/>
        </w:rPr>
        <w:instrText xml:space="preserve"> = 3 \* GB2 </w:instrText>
      </w:r>
      <w:r>
        <w:rPr>
          <w:rFonts w:hint="eastAsia"/>
          <w:sz w:val="24"/>
        </w:rPr>
        <w:fldChar w:fldCharType="separate"/>
      </w:r>
      <w:r>
        <w:rPr>
          <w:rFonts w:hint="eastAsia"/>
          <w:sz w:val="24"/>
        </w:rPr>
        <w:t>⑶</w:t>
      </w:r>
      <w:r>
        <w:rPr>
          <w:rFonts w:hint="eastAsia"/>
          <w:sz w:val="24"/>
        </w:rPr>
        <w:fldChar w:fldCharType="end"/>
      </w:r>
      <w:r>
        <w:rPr>
          <w:rFonts w:hint="eastAsia"/>
          <w:sz w:val="24"/>
        </w:rPr>
        <w:t xml:space="preserve"> 房屋承重结构的基本情况：</w:t>
      </w:r>
    </w:p>
    <w:p>
      <w:pPr>
        <w:ind w:firstLine="480"/>
        <w:rPr>
          <w:rFonts w:hint="eastAsia"/>
          <w:sz w:val="24"/>
        </w:rPr>
      </w:pP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 xml:space="preserve"> 检查钢筋混凝土构件是否有开裂和变形等损坏现象：</w:t>
      </w:r>
    </w:p>
    <w:p>
      <w:pPr>
        <w:ind w:firstLine="480"/>
        <w:rPr>
          <w:rFonts w:hint="eastAsia"/>
          <w:sz w:val="24"/>
        </w:rPr>
      </w:pPr>
      <w:r>
        <w:rPr>
          <w:rFonts w:hint="eastAsia"/>
          <w:sz w:val="24"/>
        </w:rPr>
        <w:t>a 混凝土构件外观状态记录：保护层剥落、裂缝、位移等；</w:t>
      </w:r>
    </w:p>
    <w:p>
      <w:pPr>
        <w:ind w:firstLine="480"/>
        <w:rPr>
          <w:rFonts w:hint="eastAsia"/>
          <w:sz w:val="24"/>
        </w:rPr>
      </w:pPr>
      <w:r>
        <w:rPr>
          <w:rFonts w:hint="eastAsia"/>
          <w:sz w:val="24"/>
        </w:rPr>
        <w:t>b 对房屋存在的损坏情况进行详细记录，裂缝记录时按位置、走向、裂缝形式、长度、宽度的顺序进行记录，对可能产生影响的部位及构件进行特别检查；</w:t>
      </w:r>
    </w:p>
    <w:p>
      <w:pPr>
        <w:ind w:firstLine="480"/>
        <w:rPr>
          <w:rFonts w:hint="eastAsia"/>
          <w:sz w:val="24"/>
        </w:rPr>
      </w:pPr>
      <w:r>
        <w:rPr>
          <w:rFonts w:hint="eastAsia"/>
          <w:sz w:val="24"/>
        </w:rPr>
        <w:t>c 对已存在的裂缝，选取具有代表性的裂缝或最有可能受影响的裂缝，作好裂缝观测标记或拍摄相片，以观察裂缝的发展状况及工地施工对房屋的影响。</w:t>
      </w:r>
    </w:p>
    <w:p>
      <w:pPr>
        <w:ind w:firstLine="480"/>
        <w:rPr>
          <w:rFonts w:hint="eastAsia"/>
          <w:sz w:val="24"/>
        </w:rPr>
      </w:pP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 xml:space="preserve"> 检查个构件之间的连接是否有松动、开裂及变形等损坏现象。</w:t>
      </w:r>
    </w:p>
    <w:p>
      <w:pPr>
        <w:ind w:firstLine="480"/>
        <w:rPr>
          <w:rFonts w:hint="eastAsia"/>
          <w:sz w:val="24"/>
        </w:rPr>
      </w:pPr>
      <w:r>
        <w:rPr>
          <w:rFonts w:hint="eastAsia"/>
          <w:sz w:val="24"/>
        </w:rPr>
        <w:fldChar w:fldCharType="begin"/>
      </w:r>
      <w:r>
        <w:rPr>
          <w:rFonts w:hint="eastAsia"/>
          <w:sz w:val="24"/>
        </w:rPr>
        <w:instrText xml:space="preserve"> = 4 \* GB2 </w:instrText>
      </w:r>
      <w:r>
        <w:rPr>
          <w:rFonts w:hint="eastAsia"/>
          <w:sz w:val="24"/>
        </w:rPr>
        <w:fldChar w:fldCharType="separate"/>
      </w:r>
      <w:r>
        <w:rPr>
          <w:rFonts w:hint="eastAsia"/>
          <w:sz w:val="24"/>
        </w:rPr>
        <w:t>⑷</w:t>
      </w:r>
      <w:r>
        <w:rPr>
          <w:rFonts w:hint="eastAsia"/>
          <w:sz w:val="24"/>
        </w:rPr>
        <w:fldChar w:fldCharType="end"/>
      </w:r>
      <w:r>
        <w:rPr>
          <w:rFonts w:hint="eastAsia"/>
          <w:sz w:val="24"/>
        </w:rPr>
        <w:t xml:space="preserve"> 房屋围护系统基本情况：</w:t>
      </w:r>
    </w:p>
    <w:p>
      <w:pPr>
        <w:ind w:firstLine="480"/>
        <w:rPr>
          <w:rFonts w:hint="eastAsia"/>
          <w:sz w:val="24"/>
        </w:rPr>
      </w:pP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 xml:space="preserve"> 检查砖墙砌体外观损坏情况：破损、裂缝、倾斜、弓凸、风化、腐蚀、灰缝酥松等；</w:t>
      </w:r>
    </w:p>
    <w:p>
      <w:pPr>
        <w:ind w:firstLine="480"/>
        <w:rPr>
          <w:rFonts w:hint="eastAsia"/>
          <w:sz w:val="24"/>
        </w:rPr>
      </w:pP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 xml:space="preserve"> 对房屋存在的损坏情况进行详细记录，裂缝记录时按位置、走向、裂缝形式、长度、宽度的顺序进行记录。</w:t>
      </w:r>
    </w:p>
    <w:p>
      <w:pPr>
        <w:ind w:firstLine="480"/>
        <w:rPr>
          <w:rFonts w:hint="eastAsia"/>
          <w:sz w:val="24"/>
        </w:rPr>
      </w:pPr>
      <w:r>
        <w:rPr>
          <w:rFonts w:hint="eastAsia"/>
          <w:sz w:val="24"/>
        </w:rPr>
        <w:fldChar w:fldCharType="begin"/>
      </w:r>
      <w:r>
        <w:rPr>
          <w:rFonts w:hint="eastAsia"/>
          <w:sz w:val="24"/>
        </w:rPr>
        <w:instrText xml:space="preserve"> = 5 \* GB2 </w:instrText>
      </w:r>
      <w:r>
        <w:rPr>
          <w:rFonts w:hint="eastAsia"/>
          <w:sz w:val="24"/>
        </w:rPr>
        <w:fldChar w:fldCharType="separate"/>
      </w:r>
      <w:r>
        <w:rPr>
          <w:rFonts w:hint="eastAsia"/>
          <w:sz w:val="24"/>
        </w:rPr>
        <w:t>⑸</w:t>
      </w:r>
      <w:r>
        <w:rPr>
          <w:rFonts w:hint="eastAsia"/>
          <w:sz w:val="24"/>
        </w:rPr>
        <w:fldChar w:fldCharType="end"/>
      </w:r>
      <w:r>
        <w:rPr>
          <w:rFonts w:hint="eastAsia"/>
          <w:sz w:val="24"/>
        </w:rPr>
        <w:t xml:space="preserve"> 检查房屋的饰面层损坏情况：</w:t>
      </w:r>
    </w:p>
    <w:p>
      <w:pPr>
        <w:ind w:firstLine="480"/>
        <w:rPr>
          <w:rFonts w:hint="eastAsia"/>
          <w:sz w:val="24"/>
        </w:rPr>
      </w:pPr>
      <w:r>
        <w:rPr>
          <w:rFonts w:hint="eastAsia"/>
          <w:sz w:val="24"/>
        </w:rPr>
        <w:fldChar w:fldCharType="begin"/>
      </w:r>
      <w:r>
        <w:rPr>
          <w:rFonts w:hint="eastAsia"/>
          <w:sz w:val="24"/>
        </w:rPr>
        <w:instrText xml:space="preserve"> = 1 \* GB3 </w:instrText>
      </w:r>
      <w:r>
        <w:rPr>
          <w:rFonts w:hint="eastAsia"/>
          <w:sz w:val="24"/>
        </w:rPr>
        <w:fldChar w:fldCharType="separate"/>
      </w:r>
      <w:r>
        <w:rPr>
          <w:rFonts w:hint="eastAsia"/>
          <w:sz w:val="24"/>
        </w:rPr>
        <w:t>①</w:t>
      </w:r>
      <w:r>
        <w:rPr>
          <w:rFonts w:hint="eastAsia"/>
          <w:sz w:val="24"/>
        </w:rPr>
        <w:fldChar w:fldCharType="end"/>
      </w:r>
      <w:r>
        <w:rPr>
          <w:rFonts w:hint="eastAsia"/>
          <w:sz w:val="24"/>
        </w:rPr>
        <w:t xml:space="preserve"> 检查楼地面的损坏：起砂、裂缝等；</w:t>
      </w:r>
    </w:p>
    <w:p>
      <w:pPr>
        <w:ind w:firstLine="480"/>
        <w:rPr>
          <w:rFonts w:hint="eastAsia"/>
          <w:sz w:val="24"/>
        </w:rPr>
      </w:pPr>
      <w:r>
        <w:rPr>
          <w:rFonts w:hint="eastAsia"/>
          <w:sz w:val="24"/>
        </w:rPr>
        <w:fldChar w:fldCharType="begin"/>
      </w:r>
      <w:r>
        <w:rPr>
          <w:rFonts w:hint="eastAsia"/>
          <w:sz w:val="24"/>
        </w:rPr>
        <w:instrText xml:space="preserve"> = 2 \* GB3 </w:instrText>
      </w:r>
      <w:r>
        <w:rPr>
          <w:rFonts w:hint="eastAsia"/>
          <w:sz w:val="24"/>
        </w:rPr>
        <w:fldChar w:fldCharType="separate"/>
      </w:r>
      <w:r>
        <w:rPr>
          <w:rFonts w:hint="eastAsia"/>
          <w:sz w:val="24"/>
        </w:rPr>
        <w:t>②</w:t>
      </w:r>
      <w:r>
        <w:rPr>
          <w:rFonts w:hint="eastAsia"/>
          <w:sz w:val="24"/>
        </w:rPr>
        <w:fldChar w:fldCharType="end"/>
      </w:r>
      <w:r>
        <w:rPr>
          <w:rFonts w:hint="eastAsia"/>
          <w:sz w:val="24"/>
        </w:rPr>
        <w:t xml:space="preserve"> 检查装修部分的损坏：内外墙抹灰、空鼓、剥落、风化、裂缝、龟裂、渗水等。</w:t>
      </w:r>
    </w:p>
    <w:p>
      <w:pPr>
        <w:ind w:firstLine="480"/>
        <w:rPr>
          <w:rFonts w:hint="eastAsia"/>
          <w:sz w:val="24"/>
        </w:rPr>
      </w:pPr>
      <w:r>
        <w:rPr>
          <w:rFonts w:hint="eastAsia"/>
          <w:sz w:val="24"/>
        </w:rPr>
        <w:fldChar w:fldCharType="begin"/>
      </w:r>
      <w:r>
        <w:rPr>
          <w:rFonts w:hint="eastAsia"/>
          <w:sz w:val="24"/>
        </w:rPr>
        <w:instrText xml:space="preserve"> = 6 \* GB2 </w:instrText>
      </w:r>
      <w:r>
        <w:rPr>
          <w:rFonts w:hint="eastAsia"/>
          <w:sz w:val="24"/>
        </w:rPr>
        <w:fldChar w:fldCharType="separate"/>
      </w:r>
      <w:r>
        <w:rPr>
          <w:rFonts w:hint="eastAsia"/>
          <w:sz w:val="24"/>
        </w:rPr>
        <w:t>⑹</w:t>
      </w:r>
      <w:r>
        <w:rPr>
          <w:rFonts w:hint="eastAsia"/>
          <w:sz w:val="24"/>
        </w:rPr>
        <w:fldChar w:fldCharType="end"/>
      </w:r>
      <w:r>
        <w:rPr>
          <w:rFonts w:hint="eastAsia"/>
          <w:sz w:val="24"/>
        </w:rPr>
        <w:t xml:space="preserve"> 检查房屋门窗的损坏情况：窗框与墙体固定、木质腐朽、开启情况、钢门窗锈蚀变形等</w:t>
      </w:r>
    </w:p>
    <w:p>
      <w:pPr>
        <w:ind w:firstLine="480"/>
        <w:rPr>
          <w:rFonts w:hint="eastAsia"/>
          <w:sz w:val="24"/>
          <w:lang w:val="en-US" w:eastAsia="zh-CN"/>
        </w:rPr>
      </w:pPr>
      <w:r>
        <w:rPr>
          <w:rFonts w:hint="eastAsia"/>
          <w:sz w:val="24"/>
          <w:lang w:val="en-US" w:eastAsia="zh-CN"/>
        </w:rPr>
        <w:t>4、完损性等级评定</w:t>
      </w:r>
    </w:p>
    <w:p>
      <w:pPr>
        <w:ind w:firstLine="480"/>
        <w:rPr>
          <w:rFonts w:hint="eastAsia"/>
          <w:sz w:val="24"/>
          <w:lang w:val="en-US" w:eastAsia="zh-CN"/>
        </w:rPr>
      </w:pPr>
      <w:r>
        <w:rPr>
          <w:rFonts w:hint="eastAsia"/>
          <w:sz w:val="24"/>
          <w:lang w:val="en-US" w:eastAsia="zh-CN"/>
        </w:rPr>
        <w:t>根据上述现场测量、检查结果，结合国家现行有关规范、标准，对该工程施工周边房屋的完损性等级进行评定提出具客观、公正的《房屋完损性鉴定报告》。</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5、鉴定成果</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3.1根据检查、检测情况和等级评定结果，遵守国家相应鉴定标准的要求，按每栋建筑物编写《房屋完损性鉴定报告》。</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3.2鉴定报告至少应包括以下内容：</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⑴  委托单位名称；</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⑵  建筑工程概况，包括工程名称、结构类型、规模、使用现状等；</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⑶  检查、检测项目的方法及依据的标准；</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⑷  鉴定目的；</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⑸  鉴定工作内容；</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⑹  鉴定日期，鉴定报告完成日期；</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⑺  现场照片及检测项目的主要分类检测数据和汇总结果、鉴定结论；</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⑻  鉴定结论有效期限；</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⑼  鉴定人员、校核、审核和批准人员均应签名；</w:t>
      </w:r>
    </w:p>
    <w:p>
      <w:pPr>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⑽  鉴定单位（鉴定报告专用章）盖章</w:t>
      </w:r>
    </w:p>
    <w:p>
      <w:pPr>
        <w:rPr>
          <w:b/>
          <w:sz w:val="24"/>
        </w:rPr>
      </w:pPr>
    </w:p>
    <w:p>
      <w:r>
        <w:rPr>
          <w:b/>
          <w:sz w:val="24"/>
        </w:rPr>
        <w:t>二、产品及服务供应清单：</w:t>
      </w:r>
      <w:r>
        <w:rPr>
          <w:sz w:val="24"/>
        </w:rPr>
        <w:t>见附件一《报价清单明细表》。</w:t>
      </w:r>
    </w:p>
    <w:p>
      <w:pPr>
        <w:ind w:firstLine="420"/>
      </w:pPr>
    </w:p>
    <w:p>
      <w:r>
        <w:rPr>
          <w:b/>
          <w:sz w:val="24"/>
        </w:rPr>
        <w:t>三、基本合同条款一览表</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437"/>
        <w:gridCol w:w="61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single" w:color="000000" w:sz="4" w:space="0"/>
              <w:left w:val="single" w:color="000000" w:sz="4" w:space="0"/>
              <w:bottom w:val="single" w:color="000000" w:sz="4" w:space="0"/>
              <w:right w:val="single" w:color="000000" w:sz="4" w:space="0"/>
            </w:tcBorders>
            <w:vAlign w:val="top"/>
          </w:tcPr>
          <w:p>
            <w:pPr>
              <w:jc w:val="center"/>
            </w:pPr>
            <w:r>
              <w:rPr>
                <w:b/>
                <w:sz w:val="21"/>
              </w:rPr>
              <w:t>序号</w:t>
            </w:r>
          </w:p>
        </w:tc>
        <w:tc>
          <w:tcPr>
            <w:tcW w:w="1437" w:type="dxa"/>
            <w:tcBorders>
              <w:top w:val="single" w:color="000000" w:sz="4" w:space="0"/>
              <w:left w:val="nil"/>
              <w:bottom w:val="single" w:color="000000" w:sz="4" w:space="0"/>
              <w:right w:val="single" w:color="000000" w:sz="4" w:space="0"/>
            </w:tcBorders>
            <w:vAlign w:val="top"/>
          </w:tcPr>
          <w:p>
            <w:pPr>
              <w:jc w:val="center"/>
            </w:pPr>
            <w:r>
              <w:rPr>
                <w:b/>
                <w:sz w:val="21"/>
              </w:rPr>
              <w:t>合同条款</w:t>
            </w:r>
          </w:p>
        </w:tc>
        <w:tc>
          <w:tcPr>
            <w:tcW w:w="6198" w:type="dxa"/>
            <w:tcBorders>
              <w:top w:val="single" w:color="000000" w:sz="4" w:space="0"/>
              <w:left w:val="nil"/>
              <w:bottom w:val="single" w:color="000000" w:sz="4" w:space="0"/>
              <w:right w:val="single" w:color="000000" w:sz="4" w:space="0"/>
            </w:tcBorders>
            <w:vAlign w:val="top"/>
          </w:tcPr>
          <w:p>
            <w:pPr>
              <w:jc w:val="center"/>
            </w:pPr>
            <w:r>
              <w:rPr>
                <w:b/>
                <w:sz w:val="21"/>
              </w:rPr>
              <w:t>内 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1"/>
              </w:numPr>
            </w:pPr>
          </w:p>
        </w:tc>
        <w:tc>
          <w:tcPr>
            <w:tcW w:w="1437" w:type="dxa"/>
            <w:tcBorders>
              <w:top w:val="nil"/>
              <w:left w:val="nil"/>
              <w:bottom w:val="single" w:color="000000" w:sz="4" w:space="0"/>
              <w:right w:val="single" w:color="000000" w:sz="4" w:space="0"/>
            </w:tcBorders>
            <w:vAlign w:val="top"/>
          </w:tcPr>
          <w:p>
            <w:pPr>
              <w:jc w:val="center"/>
            </w:pPr>
            <w:r>
              <w:rPr>
                <w:b/>
                <w:sz w:val="21"/>
              </w:rPr>
              <w:t>合同总额</w:t>
            </w:r>
          </w:p>
        </w:tc>
        <w:tc>
          <w:tcPr>
            <w:tcW w:w="6198" w:type="dxa"/>
            <w:tcBorders>
              <w:top w:val="nil"/>
              <w:left w:val="nil"/>
              <w:bottom w:val="single" w:color="000000" w:sz="4" w:space="0"/>
              <w:right w:val="single" w:color="000000" w:sz="4" w:space="0"/>
            </w:tcBorders>
            <w:vAlign w:val="top"/>
          </w:tcPr>
          <w:p>
            <w:r>
              <w:rPr>
                <w:sz w:val="21"/>
              </w:rPr>
              <w:t>人民币 小写：</w:t>
            </w:r>
            <w:r>
              <w:rPr>
                <w:sz w:val="19"/>
                <w:u w:val="single"/>
              </w:rPr>
              <w:t xml:space="preserve">             </w:t>
            </w:r>
            <w:r>
              <w:rPr>
                <w:sz w:val="21"/>
              </w:rPr>
              <w:t>元；</w:t>
            </w:r>
          </w:p>
          <w:p>
            <w:r>
              <w:rPr>
                <w:sz w:val="21"/>
              </w:rPr>
              <w:t>大写：</w:t>
            </w:r>
            <w:r>
              <w:rPr>
                <w:sz w:val="19"/>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合同总额内容</w:t>
            </w:r>
          </w:p>
        </w:tc>
        <w:tc>
          <w:tcPr>
            <w:tcW w:w="6198" w:type="dxa"/>
            <w:tcBorders>
              <w:top w:val="nil"/>
              <w:left w:val="nil"/>
              <w:bottom w:val="single" w:color="000000" w:sz="4" w:space="0"/>
              <w:right w:val="single" w:color="000000" w:sz="4" w:space="0"/>
            </w:tcBorders>
            <w:vAlign w:val="top"/>
          </w:tcPr>
          <w:p>
            <w:pPr>
              <w:rPr>
                <w:rFonts w:hint="eastAsia" w:eastAsia="宋体"/>
                <w:lang w:eastAsia="zh-CN"/>
              </w:rPr>
            </w:pPr>
            <w:r>
              <w:rPr>
                <w:sz w:val="21"/>
              </w:rPr>
              <w:t>（1）</w:t>
            </w:r>
            <w:r>
              <w:rPr>
                <w:rFonts w:hint="eastAsia"/>
                <w:sz w:val="21"/>
              </w:rPr>
              <w:t>报价中必须包含服务过程的办公费用、车辆及相关设备购置及使用费用、报告编制费、人员工资、社保、保险、福利、管理费、风险费、税费、利润等及合同签订过程中可预见和不可预见费用</w:t>
            </w:r>
            <w:r>
              <w:rPr>
                <w:sz w:val="21"/>
              </w:rPr>
              <w:t>。</w:t>
            </w:r>
          </w:p>
          <w:p>
            <w:r>
              <w:rPr>
                <w:sz w:val="21"/>
              </w:rPr>
              <w:t>（2）乙方必须自行考虑在本项目实施期间的一切可能产生的费用，在项目的实施过程中，一切合同规定外的费用将拒绝支付。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项目服务地点</w:t>
            </w:r>
          </w:p>
        </w:tc>
        <w:tc>
          <w:tcPr>
            <w:tcW w:w="6198" w:type="dxa"/>
            <w:tcBorders>
              <w:top w:val="nil"/>
              <w:left w:val="nil"/>
              <w:bottom w:val="single" w:color="000000" w:sz="4" w:space="0"/>
              <w:right w:val="single" w:color="000000" w:sz="4" w:space="0"/>
            </w:tcBorders>
            <w:vAlign w:val="top"/>
          </w:tcPr>
          <w:p>
            <w:pPr>
              <w:jc w:val="left"/>
              <w:rPr>
                <w:rFonts w:hint="eastAsia" w:eastAsia="宋体"/>
                <w:lang w:eastAsia="zh-CN"/>
              </w:rPr>
            </w:pPr>
            <w:r>
              <w:rPr>
                <w:sz w:val="21"/>
              </w:rPr>
              <w:t>甲方（用户）指定地点</w:t>
            </w:r>
            <w:r>
              <w:rPr>
                <w:rFonts w:hint="eastAsia"/>
                <w:sz w:val="21"/>
                <w:lang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rPr>
                <w:highlight w:val="none"/>
              </w:rPr>
            </w:pPr>
          </w:p>
        </w:tc>
        <w:tc>
          <w:tcPr>
            <w:tcW w:w="1437" w:type="dxa"/>
            <w:tcBorders>
              <w:top w:val="nil"/>
              <w:left w:val="nil"/>
              <w:bottom w:val="single" w:color="000000" w:sz="4" w:space="0"/>
              <w:right w:val="single" w:color="000000" w:sz="4" w:space="0"/>
            </w:tcBorders>
            <w:vAlign w:val="top"/>
          </w:tcPr>
          <w:p>
            <w:pPr>
              <w:jc w:val="center"/>
              <w:rPr>
                <w:rFonts w:hint="eastAsia" w:eastAsia="宋体"/>
                <w:highlight w:val="none"/>
                <w:lang w:eastAsia="zh-CN"/>
              </w:rPr>
            </w:pPr>
            <w:r>
              <w:rPr>
                <w:rFonts w:hint="eastAsia"/>
                <w:b/>
                <w:sz w:val="21"/>
                <w:highlight w:val="none"/>
                <w:lang w:eastAsia="zh-CN"/>
              </w:rPr>
              <w:t>服务期</w:t>
            </w:r>
          </w:p>
        </w:tc>
        <w:tc>
          <w:tcPr>
            <w:tcW w:w="6198" w:type="dxa"/>
            <w:tcBorders>
              <w:top w:val="nil"/>
              <w:left w:val="nil"/>
              <w:bottom w:val="single" w:color="000000" w:sz="4" w:space="0"/>
              <w:right w:val="single" w:color="000000" w:sz="4" w:space="0"/>
            </w:tcBorders>
            <w:vAlign w:val="top"/>
          </w:tcPr>
          <w:p>
            <w:pPr>
              <w:jc w:val="left"/>
              <w:rPr>
                <w:rFonts w:hint="default" w:eastAsia="宋体"/>
                <w:lang w:val="en-US" w:eastAsia="zh-CN"/>
              </w:rPr>
            </w:pPr>
            <w:r>
              <w:rPr>
                <w:rFonts w:hint="eastAsia"/>
                <w:lang w:val="en-US" w:eastAsia="zh-CN"/>
              </w:rPr>
              <w:t>自合同签订之日起20天内完成。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合同签订方式及情况</w:t>
            </w:r>
          </w:p>
        </w:tc>
        <w:tc>
          <w:tcPr>
            <w:tcW w:w="6198" w:type="dxa"/>
            <w:tcBorders>
              <w:top w:val="nil"/>
              <w:left w:val="nil"/>
              <w:bottom w:val="single" w:color="000000" w:sz="4" w:space="0"/>
              <w:right w:val="single" w:color="000000" w:sz="4" w:space="0"/>
            </w:tcBorders>
            <w:vAlign w:val="top"/>
          </w:tcPr>
          <w:p>
            <w:r>
              <w:rPr>
                <w:sz w:val="21"/>
              </w:rPr>
              <w:t>一次性签订本项目采购合同。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付款方式</w:t>
            </w:r>
          </w:p>
        </w:tc>
        <w:tc>
          <w:tcPr>
            <w:tcW w:w="6198" w:type="dxa"/>
            <w:tcBorders>
              <w:top w:val="nil"/>
              <w:left w:val="nil"/>
              <w:bottom w:val="single" w:color="000000" w:sz="4" w:space="0"/>
              <w:right w:val="single" w:color="000000" w:sz="4" w:space="0"/>
            </w:tcBorders>
            <w:vAlign w:val="top"/>
          </w:tcPr>
          <w:p>
            <w:pPr>
              <w:jc w:val="both"/>
              <w:rPr>
                <w:rFonts w:hint="default" w:eastAsia="宋体"/>
                <w:lang w:val="en-US" w:eastAsia="zh-CN"/>
              </w:rPr>
            </w:pPr>
            <w:r>
              <w:rPr>
                <w:rFonts w:hint="eastAsia"/>
                <w:lang w:eastAsia="zh-CN"/>
              </w:rPr>
              <w:t>合同签订后，乙方在服务期内完成鉴定并提供资料，经甲方与政府部门验收合格后，甲方支付至合同金额的</w:t>
            </w:r>
            <w:r>
              <w:rPr>
                <w:rFonts w:hint="eastAsia"/>
                <w:lang w:val="en-US" w:eastAsia="zh-CN"/>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付款要求</w:t>
            </w:r>
          </w:p>
        </w:tc>
        <w:tc>
          <w:tcPr>
            <w:tcW w:w="6198" w:type="dxa"/>
            <w:tcBorders>
              <w:top w:val="nil"/>
              <w:left w:val="nil"/>
              <w:bottom w:val="single" w:color="000000" w:sz="4" w:space="0"/>
              <w:right w:val="single" w:color="000000" w:sz="4" w:space="0"/>
            </w:tcBorders>
            <w:vAlign w:val="top"/>
          </w:tcPr>
          <w:p>
            <w:pPr>
              <w:jc w:val="left"/>
            </w:pPr>
            <w:r>
              <w:rPr>
                <w:sz w:val="21"/>
              </w:rPr>
              <w:t>（1）每笔款项支付前，乙方须向甲方提交支付申请资料，并按甲方要求提交等额增值税发票。甲方收到乙方递交的申请资料和发票后10个工作日内支付合同款项。</w:t>
            </w:r>
          </w:p>
          <w:p>
            <w:pPr>
              <w:jc w:val="left"/>
            </w:pPr>
            <w:r>
              <w:rPr>
                <w:sz w:val="21"/>
              </w:rPr>
              <w:t>（2）服务费以转账方式转入合同约定的乙方银行账户。</w:t>
            </w:r>
          </w:p>
          <w:p>
            <w:pPr>
              <w:jc w:val="left"/>
            </w:pPr>
            <w:r>
              <w:rPr>
                <w:sz w:val="21"/>
              </w:rPr>
              <w:t>（3）收款方、出具发票方均必须与乙方名称一致。</w:t>
            </w:r>
          </w:p>
          <w:p>
            <w:pPr>
              <w:jc w:val="left"/>
            </w:pPr>
            <w:r>
              <w:rPr>
                <w:sz w:val="21"/>
              </w:rPr>
              <w:t>（4）乙方应理解政府部门付款的相关程序，因甲方使用的是财政资金，甲方在前款规定的付款时间为向政府财政支付部门提出办理财政支付申请手续的时间，不含政府财政支付部门审核的时间。因政府财政支付审批流程及办理手续而造成项目支付进度有所推延，而导致甲方逾期付款的，甲方不承担逾期付款违约责任，且乙方不得以此理由停止提供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质量要求</w:t>
            </w:r>
          </w:p>
        </w:tc>
        <w:tc>
          <w:tcPr>
            <w:tcW w:w="6198" w:type="dxa"/>
            <w:tcBorders>
              <w:top w:val="nil"/>
              <w:left w:val="nil"/>
              <w:bottom w:val="single" w:color="000000" w:sz="4" w:space="0"/>
              <w:right w:val="single" w:color="000000" w:sz="4" w:space="0"/>
            </w:tcBorders>
            <w:vAlign w:val="top"/>
          </w:tcPr>
          <w:p>
            <w:pPr>
              <w:jc w:val="left"/>
            </w:pPr>
            <w:r>
              <w:rPr>
                <w:sz w:val="21"/>
              </w:rPr>
              <w:t>严格按照国家、省、市以及行业、项目所在地颁布的有关规范、标准或章程等执行。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0" w:type="dxa"/>
            <w:tcBorders>
              <w:top w:val="nil"/>
              <w:left w:val="single" w:color="000000" w:sz="4" w:space="0"/>
              <w:bottom w:val="single" w:color="000000" w:sz="4" w:space="0"/>
              <w:right w:val="single" w:color="000000" w:sz="4" w:space="0"/>
            </w:tcBorders>
            <w:vAlign w:val="top"/>
          </w:tcPr>
          <w:p>
            <w:pPr>
              <w:numPr>
                <w:ilvl w:val="0"/>
                <w:numId w:val="2"/>
              </w:numPr>
              <w:jc w:val="center"/>
            </w:pPr>
          </w:p>
        </w:tc>
        <w:tc>
          <w:tcPr>
            <w:tcW w:w="1437" w:type="dxa"/>
            <w:tcBorders>
              <w:top w:val="nil"/>
              <w:left w:val="nil"/>
              <w:bottom w:val="single" w:color="000000" w:sz="4" w:space="0"/>
              <w:right w:val="single" w:color="000000" w:sz="4" w:space="0"/>
            </w:tcBorders>
            <w:vAlign w:val="top"/>
          </w:tcPr>
          <w:p>
            <w:pPr>
              <w:jc w:val="center"/>
            </w:pPr>
            <w:r>
              <w:rPr>
                <w:b/>
                <w:sz w:val="21"/>
              </w:rPr>
              <w:t>履约保证金</w:t>
            </w:r>
          </w:p>
        </w:tc>
        <w:tc>
          <w:tcPr>
            <w:tcW w:w="6198" w:type="dxa"/>
            <w:tcBorders>
              <w:top w:val="nil"/>
              <w:left w:val="nil"/>
              <w:bottom w:val="single" w:color="000000" w:sz="4" w:space="0"/>
              <w:right w:val="single" w:color="000000" w:sz="4" w:space="0"/>
            </w:tcBorders>
            <w:vAlign w:val="top"/>
          </w:tcPr>
          <w:p>
            <w:pPr>
              <w:jc w:val="left"/>
              <w:rPr>
                <w:rFonts w:hint="eastAsia" w:eastAsia="宋体"/>
                <w:lang w:eastAsia="zh-CN"/>
              </w:rPr>
            </w:pPr>
            <w:r>
              <w:rPr>
                <w:rFonts w:hint="eastAsia"/>
                <w:lang w:eastAsia="zh-CN"/>
              </w:rPr>
              <w:t>无。</w:t>
            </w:r>
          </w:p>
        </w:tc>
      </w:tr>
    </w:tbl>
    <w:p>
      <w:pPr>
        <w:ind w:firstLine="480"/>
      </w:pPr>
      <w:r>
        <w:rPr>
          <w:sz w:val="24"/>
        </w:rPr>
        <w:t>具体的合同条款详见《专用合同条款》，且该《合同专用条款》内容在本合同内容的解释顺序中占优先地位。</w:t>
      </w:r>
    </w:p>
    <w:p/>
    <w:p>
      <w:r>
        <w:rPr>
          <w:b/>
          <w:sz w:val="24"/>
        </w:rPr>
        <w:t>四、</w:t>
      </w:r>
      <w:r>
        <w:rPr>
          <w:rFonts w:hint="eastAsia"/>
          <w:b/>
          <w:sz w:val="24"/>
        </w:rPr>
        <w:t>相关鉴定标准</w:t>
      </w:r>
    </w:p>
    <w:p>
      <w:pPr>
        <w:ind w:firstLine="420"/>
        <w:rPr>
          <w:rFonts w:hint="eastAsia"/>
          <w:sz w:val="24"/>
        </w:rPr>
      </w:pPr>
      <w:r>
        <w:rPr>
          <w:rFonts w:hint="eastAsia"/>
          <w:sz w:val="24"/>
        </w:rPr>
        <w:t>1.《房屋完损等级评定标准》（城住[84]第678号）</w:t>
      </w:r>
    </w:p>
    <w:p>
      <w:pPr>
        <w:ind w:firstLine="420"/>
        <w:rPr>
          <w:rFonts w:hint="eastAsia"/>
          <w:sz w:val="24"/>
        </w:rPr>
      </w:pPr>
      <w:r>
        <w:rPr>
          <w:rFonts w:hint="eastAsia"/>
          <w:sz w:val="24"/>
        </w:rPr>
        <w:t>2.《危险房屋鉴定标准》（JGJ 125-2016）</w:t>
      </w:r>
    </w:p>
    <w:p>
      <w:pPr>
        <w:ind w:firstLine="420"/>
        <w:rPr>
          <w:rFonts w:hint="eastAsia"/>
          <w:sz w:val="24"/>
        </w:rPr>
      </w:pPr>
      <w:r>
        <w:rPr>
          <w:rFonts w:hint="eastAsia"/>
          <w:sz w:val="24"/>
        </w:rPr>
        <w:t>3.《城市危险房屋管理规定》（建设部令第129号）</w:t>
      </w:r>
    </w:p>
    <w:p>
      <w:pPr>
        <w:ind w:firstLine="420"/>
        <w:rPr>
          <w:rFonts w:hint="eastAsia"/>
          <w:sz w:val="24"/>
        </w:rPr>
      </w:pPr>
      <w:r>
        <w:rPr>
          <w:rFonts w:hint="eastAsia"/>
          <w:sz w:val="24"/>
        </w:rPr>
        <w:t>4.《建筑变形测量规范》（JGJ8-2016）</w:t>
      </w:r>
    </w:p>
    <w:p>
      <w:pPr>
        <w:ind w:firstLine="420"/>
        <w:rPr>
          <w:rFonts w:hint="eastAsia"/>
          <w:sz w:val="24"/>
        </w:rPr>
      </w:pPr>
      <w:r>
        <w:rPr>
          <w:rFonts w:hint="eastAsia"/>
          <w:sz w:val="24"/>
        </w:rPr>
        <w:t>5.《建筑地基基础设计规范》（GB50007-2011）</w:t>
      </w:r>
    </w:p>
    <w:p>
      <w:pPr>
        <w:ind w:firstLine="420"/>
        <w:rPr>
          <w:rFonts w:hint="eastAsia"/>
          <w:sz w:val="24"/>
        </w:rPr>
      </w:pPr>
      <w:r>
        <w:rPr>
          <w:rFonts w:hint="eastAsia"/>
          <w:sz w:val="24"/>
        </w:rPr>
        <w:t>6.《砌体结构设计规范》（GB50003-2011）</w:t>
      </w:r>
    </w:p>
    <w:p>
      <w:pPr>
        <w:ind w:firstLine="420"/>
        <w:rPr>
          <w:rFonts w:hint="eastAsia"/>
          <w:sz w:val="24"/>
        </w:rPr>
      </w:pPr>
      <w:r>
        <w:rPr>
          <w:rFonts w:hint="eastAsia"/>
          <w:sz w:val="24"/>
        </w:rPr>
        <w:t>7.《混凝土结构设计规范》（GB50010-2010）</w:t>
      </w:r>
    </w:p>
    <w:p>
      <w:pPr>
        <w:ind w:firstLine="420"/>
        <w:rPr>
          <w:rFonts w:hint="eastAsia"/>
          <w:sz w:val="24"/>
        </w:rPr>
      </w:pPr>
      <w:r>
        <w:rPr>
          <w:rFonts w:hint="eastAsia"/>
          <w:sz w:val="24"/>
        </w:rPr>
        <w:t>8.《房屋安全鉴定报告编制规范》（DB 44/T 1887-2016）</w:t>
      </w:r>
    </w:p>
    <w:p>
      <w:pPr>
        <w:ind w:firstLine="420"/>
      </w:pPr>
      <w:r>
        <w:rPr>
          <w:rFonts w:hint="eastAsia"/>
          <w:sz w:val="24"/>
        </w:rPr>
        <w:t>9.委托方提供的相关资料。</w:t>
      </w:r>
      <w:r>
        <w:rPr>
          <w:sz w:val="24"/>
        </w:rPr>
        <w:t>。</w:t>
      </w:r>
    </w:p>
    <w:p>
      <w:pPr>
        <w:ind w:firstLine="420"/>
      </w:pPr>
      <w:r>
        <w:rPr>
          <w:sz w:val="24"/>
        </w:rPr>
        <w:t>注：各文件或规范的要求、标准存在不同的，以较高要求或标准为准，但甲方另有要求的除外。</w:t>
      </w:r>
    </w:p>
    <w:p>
      <w:pPr>
        <w:ind w:firstLine="420"/>
      </w:pPr>
    </w:p>
    <w:p>
      <w:r>
        <w:rPr>
          <w:rFonts w:hint="eastAsia"/>
          <w:b/>
          <w:sz w:val="24"/>
          <w:lang w:eastAsia="zh-CN"/>
        </w:rPr>
        <w:t>五</w:t>
      </w:r>
      <w:r>
        <w:rPr>
          <w:b/>
          <w:sz w:val="24"/>
        </w:rPr>
        <w:t>、投诉跟踪服务要求：</w:t>
      </w:r>
    </w:p>
    <w:p>
      <w:r>
        <w:rPr>
          <w:sz w:val="24"/>
        </w:rPr>
        <w:t>1、乙方须提供常设的投诉热线服务，并对投诉内容进行及时跟踪、回访。对甲方的投诉与通知，必须按甲方指定的时间内处理完毕，若特发事件不能在短时间内解决，乙方必须采取应急措施，或按甲方认可的应急方案执行，不得影响甲方的正常工作业务。</w:t>
      </w:r>
    </w:p>
    <w:p>
      <w:r>
        <w:rPr>
          <w:sz w:val="24"/>
        </w:rPr>
        <w:t>2、服务期内，甲方有权按本项目的管理要求对乙方进行不定期抽查检查，若对不合格的管理服务提出警告后，仍未得到有效解决时，甲方有权终止管理合同。</w:t>
      </w:r>
    </w:p>
    <w:p>
      <w:r>
        <w:rPr>
          <w:sz w:val="24"/>
        </w:rPr>
        <w:t>3、乙方服务机构名称及地址：</w:t>
      </w:r>
      <w:r>
        <w:t xml:space="preserve"> </w:t>
      </w:r>
    </w:p>
    <w:p>
      <w:pPr>
        <w:ind w:firstLine="420"/>
      </w:pPr>
      <w:r>
        <w:rPr>
          <w:sz w:val="24"/>
        </w:rPr>
        <w:t>联系人1：          ，联系电话：            ，手机：          ；</w:t>
      </w:r>
    </w:p>
    <w:p>
      <w:pPr>
        <w:ind w:firstLine="420"/>
      </w:pPr>
      <w:r>
        <w:rPr>
          <w:sz w:val="24"/>
        </w:rPr>
        <w:t>联系人2：          ，联系电话：            ，手机：          ；</w:t>
      </w:r>
    </w:p>
    <w:p>
      <w:pPr>
        <w:ind w:firstLine="420"/>
      </w:pPr>
      <w:r>
        <w:rPr>
          <w:sz w:val="24"/>
        </w:rPr>
        <w:t>服务专线电话：</w:t>
      </w:r>
    </w:p>
    <w:p/>
    <w:p>
      <w:r>
        <w:rPr>
          <w:rFonts w:hint="eastAsia"/>
          <w:b/>
          <w:sz w:val="24"/>
          <w:lang w:eastAsia="zh-CN"/>
        </w:rPr>
        <w:t>六</w:t>
      </w:r>
      <w:r>
        <w:rPr>
          <w:b/>
          <w:sz w:val="24"/>
        </w:rPr>
        <w:t>、乙方服务人员配置要求：</w:t>
      </w:r>
    </w:p>
    <w:p>
      <w:pPr>
        <w:ind w:firstLine="472"/>
      </w:pPr>
      <w:r>
        <w:rPr>
          <w:sz w:val="24"/>
        </w:rPr>
        <w:t>1、在项目实施期间，乙方拟派项目团队人员配置要求如下表</w:t>
      </w:r>
      <w:r>
        <w:rPr>
          <w:rFonts w:hint="eastAsia"/>
          <w:sz w:val="24"/>
          <w:lang w:eastAsia="zh-CN"/>
        </w:rPr>
        <w:t>（根据乙方的投标文件进行提供）</w:t>
      </w:r>
      <w:r>
        <w:rPr>
          <w:sz w:val="24"/>
        </w:rPr>
        <w:t>：</w:t>
      </w:r>
    </w:p>
    <w:tbl>
      <w:tblPr>
        <w:tblStyle w:val="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20"/>
        <w:gridCol w:w="1080"/>
        <w:gridCol w:w="1080"/>
        <w:gridCol w:w="1492"/>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2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08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108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1492"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在本项目拟担任职务</w:t>
            </w:r>
          </w:p>
        </w:tc>
        <w:tc>
          <w:tcPr>
            <w:tcW w:w="3323"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492" w:type="dxa"/>
            <w:noWrap w:val="0"/>
            <w:vAlign w:val="center"/>
          </w:tcPr>
          <w:p>
            <w:pPr>
              <w:jc w:val="center"/>
              <w:rPr>
                <w:rFonts w:hint="eastAsia" w:ascii="宋体" w:hAnsi="宋体" w:eastAsia="宋体" w:cs="宋体"/>
                <w:b/>
                <w:color w:val="auto"/>
                <w:sz w:val="24"/>
                <w:szCs w:val="24"/>
                <w:highlight w:val="none"/>
              </w:rPr>
            </w:pPr>
          </w:p>
        </w:tc>
        <w:tc>
          <w:tcPr>
            <w:tcW w:w="3323" w:type="dxa"/>
            <w:noWrap w:val="0"/>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492" w:type="dxa"/>
            <w:noWrap w:val="0"/>
            <w:vAlign w:val="center"/>
          </w:tcPr>
          <w:p>
            <w:pPr>
              <w:jc w:val="center"/>
              <w:rPr>
                <w:rFonts w:hint="eastAsia" w:ascii="宋体" w:hAnsi="宋体" w:eastAsia="宋体" w:cs="宋体"/>
                <w:b/>
                <w:color w:val="auto"/>
                <w:sz w:val="24"/>
                <w:szCs w:val="24"/>
                <w:highlight w:val="none"/>
              </w:rPr>
            </w:pPr>
          </w:p>
        </w:tc>
        <w:tc>
          <w:tcPr>
            <w:tcW w:w="3323" w:type="dxa"/>
            <w:noWrap w:val="0"/>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492" w:type="dxa"/>
            <w:noWrap w:val="0"/>
            <w:vAlign w:val="center"/>
          </w:tcPr>
          <w:p>
            <w:pPr>
              <w:jc w:val="center"/>
              <w:rPr>
                <w:rFonts w:hint="eastAsia" w:ascii="宋体" w:hAnsi="宋体" w:eastAsia="宋体" w:cs="宋体"/>
                <w:b/>
                <w:color w:val="auto"/>
                <w:sz w:val="24"/>
                <w:szCs w:val="24"/>
                <w:highlight w:val="none"/>
              </w:rPr>
            </w:pPr>
          </w:p>
        </w:tc>
        <w:tc>
          <w:tcPr>
            <w:tcW w:w="3323" w:type="dxa"/>
            <w:noWrap w:val="0"/>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492" w:type="dxa"/>
            <w:noWrap w:val="0"/>
            <w:vAlign w:val="center"/>
          </w:tcPr>
          <w:p>
            <w:pPr>
              <w:jc w:val="center"/>
              <w:rPr>
                <w:rFonts w:hint="eastAsia" w:ascii="宋体" w:hAnsi="宋体" w:eastAsia="宋体" w:cs="宋体"/>
                <w:b/>
                <w:color w:val="auto"/>
                <w:sz w:val="24"/>
                <w:szCs w:val="24"/>
                <w:highlight w:val="none"/>
              </w:rPr>
            </w:pPr>
          </w:p>
        </w:tc>
        <w:tc>
          <w:tcPr>
            <w:tcW w:w="3323" w:type="dxa"/>
            <w:noWrap w:val="0"/>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492" w:type="dxa"/>
            <w:noWrap w:val="0"/>
            <w:vAlign w:val="center"/>
          </w:tcPr>
          <w:p>
            <w:pPr>
              <w:jc w:val="center"/>
              <w:rPr>
                <w:rFonts w:hint="eastAsia" w:ascii="宋体" w:hAnsi="宋体" w:eastAsia="宋体" w:cs="宋体"/>
                <w:b/>
                <w:color w:val="auto"/>
                <w:sz w:val="24"/>
                <w:szCs w:val="24"/>
                <w:highlight w:val="none"/>
              </w:rPr>
            </w:pPr>
          </w:p>
        </w:tc>
        <w:tc>
          <w:tcPr>
            <w:tcW w:w="3323" w:type="dxa"/>
            <w:noWrap w:val="0"/>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080" w:type="dxa"/>
            <w:noWrap w:val="0"/>
            <w:vAlign w:val="center"/>
          </w:tcPr>
          <w:p>
            <w:pPr>
              <w:jc w:val="center"/>
              <w:rPr>
                <w:rFonts w:hint="eastAsia" w:ascii="宋体" w:hAnsi="宋体" w:eastAsia="宋体" w:cs="宋体"/>
                <w:b/>
                <w:color w:val="auto"/>
                <w:sz w:val="24"/>
                <w:szCs w:val="24"/>
                <w:highlight w:val="none"/>
              </w:rPr>
            </w:pPr>
          </w:p>
        </w:tc>
        <w:tc>
          <w:tcPr>
            <w:tcW w:w="1492" w:type="dxa"/>
            <w:noWrap w:val="0"/>
            <w:vAlign w:val="center"/>
          </w:tcPr>
          <w:p>
            <w:pPr>
              <w:jc w:val="center"/>
              <w:rPr>
                <w:rFonts w:hint="eastAsia" w:ascii="宋体" w:hAnsi="宋体" w:eastAsia="宋体" w:cs="宋体"/>
                <w:b/>
                <w:color w:val="auto"/>
                <w:sz w:val="24"/>
                <w:szCs w:val="24"/>
                <w:highlight w:val="none"/>
              </w:rPr>
            </w:pPr>
          </w:p>
        </w:tc>
        <w:tc>
          <w:tcPr>
            <w:tcW w:w="3323" w:type="dxa"/>
            <w:noWrap w:val="0"/>
            <w:vAlign w:val="center"/>
          </w:tcPr>
          <w:p>
            <w:pPr>
              <w:jc w:val="center"/>
              <w:rPr>
                <w:rFonts w:hint="eastAsia" w:ascii="宋体" w:hAnsi="宋体" w:eastAsia="宋体" w:cs="宋体"/>
                <w:b/>
                <w:color w:val="auto"/>
                <w:sz w:val="24"/>
                <w:szCs w:val="24"/>
                <w:highlight w:val="none"/>
              </w:rPr>
            </w:pPr>
          </w:p>
        </w:tc>
      </w:tr>
    </w:tbl>
    <w:p>
      <w:pPr>
        <w:ind w:firstLine="480"/>
      </w:pPr>
      <w:r>
        <w:rPr>
          <w:sz w:val="24"/>
        </w:rPr>
        <w:t>2、乙方须在本项目合同签订前将项目负责人有关的职称证、监测经验、业绩等相关证明材料、以及项目团队中其他有关人员相关资料报甲方审核备案；若人员资质不能满足要求或未能通过审核的，视为乙方放弃中标资格，并要求乙方支付中标价的10%给甲方作为违约金。</w:t>
      </w:r>
    </w:p>
    <w:p/>
    <w:p>
      <w:r>
        <w:rPr>
          <w:b/>
          <w:sz w:val="24"/>
        </w:rPr>
        <w:t>八、知识产权和保密要求：</w:t>
      </w:r>
    </w:p>
    <w:p>
      <w:r>
        <w:rPr>
          <w:sz w:val="24"/>
        </w:rPr>
        <w:t>1、知识产权</w:t>
      </w:r>
    </w:p>
    <w:p>
      <w:pPr>
        <w:ind w:firstLine="508"/>
      </w:pPr>
      <w:r>
        <w:rPr>
          <w:sz w:val="24"/>
        </w:rPr>
        <w:t>（1）甲方对根据本合同提供给乙方的所有数据和资料保持有完整知识产权并对其合法性承担法律责任。</w:t>
      </w:r>
    </w:p>
    <w:p>
      <w:pPr>
        <w:ind w:firstLine="508"/>
      </w:pPr>
      <w:r>
        <w:rPr>
          <w:sz w:val="24"/>
        </w:rPr>
        <w:t>（2）乙方对为提供本合同项下服务而使用或开发的数据、资料、工具、软件、技艺、技术诀窍、方法或其他的信息享有完整的知识产权或合法的使用权；若因前述之使用造成任何对第三方的侵权行为，由此而产生的一切法律责任及经济赔偿均由乙方自行承担；若甲方已先行赔偿的，乙方应就甲方的赔付范围承担全额补偿责任。</w:t>
      </w:r>
    </w:p>
    <w:p>
      <w:pPr>
        <w:ind w:firstLine="508"/>
      </w:pPr>
      <w:r>
        <w:rPr>
          <w:sz w:val="24"/>
        </w:rPr>
        <w:t>（3）甲方对乙方为履行本项目下服务而交付给甲方的所有阶段性工作成果及最终工作成果拥有一切的知识产权，但乙方对所提交给甲方的任一阶段工作成果拥有署名权及用于业绩宣传的发表和发布权。</w:t>
      </w:r>
    </w:p>
    <w:p>
      <w:pPr>
        <w:ind w:firstLine="508"/>
      </w:pPr>
      <w:r>
        <w:rPr>
          <w:sz w:val="24"/>
        </w:rPr>
        <w:t>（4）未经甲方书面同意，乙方不得将此项目的成果文件（资料）向第三方披露或允许第三方使用，否则构成侵权，乙方必须向甲方赔偿由此而引起的一切损失，并承担相应的法律责任。</w:t>
      </w:r>
    </w:p>
    <w:p>
      <w:pPr>
        <w:ind w:firstLine="508"/>
        <w:rPr>
          <w:rFonts w:hint="eastAsia" w:eastAsia="宋体"/>
          <w:lang w:val="en-US" w:eastAsia="zh-CN"/>
        </w:rPr>
      </w:pPr>
      <w:r>
        <w:rPr>
          <w:sz w:val="24"/>
        </w:rPr>
        <w:t>（</w:t>
      </w:r>
      <w:r>
        <w:rPr>
          <w:rFonts w:hint="eastAsia"/>
          <w:sz w:val="24"/>
          <w:lang w:val="en-US" w:eastAsia="zh-CN"/>
        </w:rPr>
        <w:t>5</w:t>
      </w:r>
      <w:r>
        <w:rPr>
          <w:sz w:val="24"/>
        </w:rPr>
        <w:t>）乙方为本项目服务使用的或准备采用的任何专利、版权、设计商标或名称及其它受保护权利的都必须取得合法的授权，所产生的有关费用应由乙方承担。如乙方由于为本项目服务使用的或准备采用的任何专利、版权、设计商标或名称及其它受保护权利的行为而引起的所有索赔和诉讼的费用都应由乙方承担。此外，乙方还应承担由此导致或与此有关的损坏赔偿、诉讼费、指控费和其它开支。上述应由乙方承担的所有费用均视为已包含在相关报价中，甲方将不另行支付</w:t>
      </w:r>
      <w:r>
        <w:rPr>
          <w:rFonts w:hint="eastAsia"/>
          <w:sz w:val="24"/>
          <w:lang w:val="en-US" w:eastAsia="zh-CN"/>
        </w:rPr>
        <w:t>.</w:t>
      </w:r>
    </w:p>
    <w:p>
      <w:r>
        <w:rPr>
          <w:sz w:val="24"/>
        </w:rPr>
        <w:t>2、保密要求</w:t>
      </w:r>
    </w:p>
    <w:p>
      <w:pPr>
        <w:ind w:firstLine="508"/>
      </w:pPr>
      <w:r>
        <w:rPr>
          <w:sz w:val="24"/>
        </w:rPr>
        <w:t>（1）本合同项下的“保密信息”是指依《反不正当竞争法》第九条第四款所规定的，不为公众所知悉、具有商业价值并经权利人采取相应保密措施的技术信息、经营信息等商业信息。涉及到的范围是：包括但不仅限于合同条文、计划、图纸或资料以及乙方在本合同履行过程中所获得的甲方及相关单位的商业秘密等协议双方在洽谈、签订、履行合同过程中相互披露的内容信息。</w:t>
      </w:r>
    </w:p>
    <w:p>
      <w:pPr>
        <w:ind w:firstLine="508"/>
      </w:pPr>
      <w:r>
        <w:rPr>
          <w:sz w:val="24"/>
        </w:rPr>
        <w:t>（2）未经其他方书面同意，任何一方均不得将保密信息向本合同以外的其他方提供、泄露，否则应承担由此产生的一切法律后果及损失。除为从事本合同约定之事项正常使用外，双方不得以任何形式为自己或他人的利益使用、利用本合同约定的保密信息。但双方因工作需要，在以下范围内披露前述内容的，不视为违反本合同项下的保密义务：</w:t>
      </w:r>
    </w:p>
    <w:p>
      <w:pPr>
        <w:ind w:firstLine="508"/>
      </w:pPr>
      <w:r>
        <w:rPr>
          <w:sz w:val="24"/>
        </w:rPr>
        <w:t>①国家法律法规、有管辖权的政府部门、证券监管机构（包括香港联合交易所有限公司）或其他有权监管机构要求披露的情况；</w:t>
      </w:r>
    </w:p>
    <w:p>
      <w:pPr>
        <w:ind w:firstLine="508"/>
      </w:pPr>
      <w:r>
        <w:rPr>
          <w:sz w:val="24"/>
        </w:rPr>
        <w:t>②在披露时已成为公众一般可取得的资料和信息；</w:t>
      </w:r>
    </w:p>
    <w:p>
      <w:pPr>
        <w:ind w:firstLine="508"/>
      </w:pPr>
      <w:r>
        <w:rPr>
          <w:sz w:val="24"/>
        </w:rPr>
        <w:t>③由任一方就本合同所述交易而须向其法律、业务或财务顾问或有关之高层管理人员披露之资料，并在其要求的范围内做出披露；</w:t>
      </w:r>
    </w:p>
    <w:p>
      <w:pPr>
        <w:ind w:firstLine="508"/>
      </w:pPr>
      <w:r>
        <w:rPr>
          <w:sz w:val="24"/>
        </w:rPr>
        <w:t>④双方须向其关联公司披露之资料。</w:t>
      </w:r>
    </w:p>
    <w:p>
      <w:pPr>
        <w:ind w:firstLine="508"/>
      </w:pPr>
      <w:r>
        <w:rPr>
          <w:sz w:val="24"/>
        </w:rPr>
        <w:t>（3）保密期限为自接受保密信息起永久保密，除非该保密信息已经被合法地成为公开信息。本保密条款不因本合同的不成立、全部或者部分无效、变更、撤销、解除、履行完毕等情形而失去效力。</w:t>
      </w:r>
    </w:p>
    <w:p>
      <w:pPr>
        <w:ind w:firstLine="508"/>
        <w:rPr>
          <w:sz w:val="24"/>
        </w:rPr>
      </w:pPr>
      <w:r>
        <w:rPr>
          <w:sz w:val="24"/>
        </w:rPr>
        <w:t>（4）其他保密要求</w:t>
      </w:r>
    </w:p>
    <w:p>
      <w:pPr>
        <w:ind w:firstLine="480"/>
        <w:jc w:val="left"/>
      </w:pPr>
      <w:r>
        <w:rPr>
          <w:sz w:val="24"/>
        </w:rPr>
        <w:t>乙方保证是本合同规定提供的一切技术和资料的合法持有者，如果发生第三方指控侵权时,则由乙方负责与第三方交涉并承担由此引起的一切法律上和经济上的责任。</w:t>
      </w:r>
    </w:p>
    <w:p>
      <w:pPr>
        <w:ind w:firstLine="480"/>
        <w:jc w:val="left"/>
      </w:pPr>
      <w:r>
        <w:rPr>
          <w:sz w:val="24"/>
        </w:rPr>
        <w:t>甲方同意在合同有效期内对乙方提供给甲方的技术资料进行保密，如果上述技术资料中的一部分或者全部被乙方或第三方公布，甲方对公开部分则不再承担保密义务。</w:t>
      </w:r>
    </w:p>
    <w:p>
      <w:pPr>
        <w:ind w:firstLine="508"/>
      </w:pPr>
      <w:r>
        <w:rPr>
          <w:sz w:val="24"/>
        </w:rPr>
        <w:t>乙方应对甲方提供的相关资料和试验数据保密，除非事先征得甲方书面同意，不得将甲方提供的相关资料用于本合同范围外的所有其它场合。。</w:t>
      </w:r>
    </w:p>
    <w:p/>
    <w:p>
      <w:r>
        <w:rPr>
          <w:b/>
          <w:sz w:val="24"/>
        </w:rPr>
        <w:t>九、违约与赔偿</w:t>
      </w:r>
    </w:p>
    <w:p>
      <w:pPr>
        <w:ind w:firstLine="480"/>
        <w:jc w:val="left"/>
      </w:pPr>
      <w:r>
        <w:rPr>
          <w:sz w:val="24"/>
        </w:rPr>
        <w:t>5.1甲方的违约</w:t>
      </w:r>
    </w:p>
    <w:p>
      <w:pPr>
        <w:ind w:firstLine="480"/>
        <w:jc w:val="left"/>
      </w:pPr>
      <w:r>
        <w:rPr>
          <w:sz w:val="24"/>
        </w:rPr>
        <w:t>（1）由于甲方提供的资料、文件错误、不准确，造成工期延误或返工时，工期可顺延，但费用不予调整。</w:t>
      </w:r>
    </w:p>
    <w:p>
      <w:pPr>
        <w:ind w:firstLine="480"/>
        <w:jc w:val="left"/>
      </w:pPr>
      <w:r>
        <w:rPr>
          <w:sz w:val="24"/>
        </w:rPr>
        <w:t>（2）合同生效后，如甲方单方面中途停止或解除合同，甲方应根据乙方已完成工作量向乙方支付监测/检测费。</w:t>
      </w:r>
    </w:p>
    <w:p>
      <w:pPr>
        <w:ind w:firstLine="480"/>
        <w:jc w:val="left"/>
      </w:pPr>
      <w:r>
        <w:rPr>
          <w:sz w:val="24"/>
        </w:rPr>
        <w:t>5.2乙方的违约</w:t>
      </w:r>
    </w:p>
    <w:p>
      <w:pPr>
        <w:ind w:firstLine="480"/>
        <w:jc w:val="left"/>
      </w:pPr>
      <w:r>
        <w:rPr>
          <w:sz w:val="24"/>
        </w:rPr>
        <w:t>（1）合同生效后，因乙方责任引起的解除合同，除已支付费用外，甲方不再支付乙方任何费用或补偿，并保留追究赔偿的权利。</w:t>
      </w:r>
    </w:p>
    <w:p>
      <w:pPr>
        <w:ind w:firstLine="480"/>
        <w:jc w:val="left"/>
      </w:pPr>
      <w:r>
        <w:rPr>
          <w:sz w:val="24"/>
        </w:rPr>
        <w:t>（2）乙方不按时进场监测，在甲方发出书面通知后的3天内仍不进场监测的，甲方有权单方解除合同。</w:t>
      </w:r>
    </w:p>
    <w:p>
      <w:pPr>
        <w:ind w:firstLine="480"/>
        <w:jc w:val="left"/>
      </w:pPr>
      <w:r>
        <w:rPr>
          <w:sz w:val="24"/>
        </w:rPr>
        <w:t>（3）乙方未按照本合同约定的期限提交项目成果报告的，每逾期1日，应按照1000元/日的标准承担违约责任；逾期超过15日的，甲方有权解除本合同。</w:t>
      </w:r>
    </w:p>
    <w:p>
      <w:pPr>
        <w:ind w:firstLine="480"/>
        <w:jc w:val="left"/>
      </w:pPr>
      <w:r>
        <w:rPr>
          <w:sz w:val="24"/>
        </w:rPr>
        <w:t>（4）乙方须保证其提交的报告、成果、文件符合有关法律法规，国家、行业标准的规定和本合同的约定，否则，乙方应负责对其提交的报告、成果、文件进行无偿修改，使之符合有关法律法规，国家、行业标准的规定和本合同的约定。</w:t>
      </w:r>
    </w:p>
    <w:p>
      <w:pPr>
        <w:ind w:firstLine="480"/>
        <w:jc w:val="left"/>
      </w:pPr>
      <w:r>
        <w:rPr>
          <w:sz w:val="24"/>
        </w:rPr>
        <w:t>（5）服务响应时间违约责任：</w:t>
      </w:r>
    </w:p>
    <w:p>
      <w:pPr>
        <w:ind w:firstLine="480"/>
        <w:jc w:val="left"/>
      </w:pPr>
      <w:r>
        <w:rPr>
          <w:sz w:val="24"/>
        </w:rPr>
        <w:t>（5.1）服务期内，如甲方有需求，乙方在接到甲方通知后须派专人在2小时内到达本项目工程施工现场。若未在规定时间内到场，甲方有权要求乙方支付1000元/次违约金；</w:t>
      </w:r>
    </w:p>
    <w:p>
      <w:pPr>
        <w:ind w:firstLine="480"/>
        <w:jc w:val="left"/>
      </w:pPr>
      <w:r>
        <w:rPr>
          <w:sz w:val="24"/>
        </w:rPr>
        <w:t>（5.2）工程现场发生险情时，乙方收到监理人或甲方通知后，2小时内必须派专人赶至施工现场。若未在规定时间内到场，甲方有权要求乙方支付1000元/次违约金；</w:t>
      </w:r>
    </w:p>
    <w:p>
      <w:pPr>
        <w:ind w:firstLine="480"/>
        <w:jc w:val="left"/>
      </w:pPr>
      <w:r>
        <w:rPr>
          <w:sz w:val="24"/>
        </w:rPr>
        <w:t>上述（5.1）（5.2）项累计最多不超过30000元。</w:t>
      </w:r>
    </w:p>
    <w:p>
      <w:pPr>
        <w:ind w:firstLine="480"/>
        <w:jc w:val="left"/>
      </w:pPr>
      <w:r>
        <w:rPr>
          <w:sz w:val="24"/>
        </w:rPr>
        <w:t>（6）因乙方提交错误或造假的数据、报告、成果、文件而导致的事故，乙方须承担相关的损失、赔偿和法律责任，并向甲方支付合同总额5%的违约金，甲方有权终止合同，并且将相关情况抄送行业主管部门。</w:t>
      </w:r>
    </w:p>
    <w:p>
      <w:pPr>
        <w:ind w:firstLine="480"/>
        <w:jc w:val="left"/>
      </w:pPr>
      <w:r>
        <w:rPr>
          <w:sz w:val="24"/>
        </w:rPr>
        <w:t>（7）在合同履行期间，若因乙方原因导致合同无法继续履行的，甲方有权单方解除合同并不作赔偿。</w:t>
      </w:r>
    </w:p>
    <w:p>
      <w:pPr>
        <w:ind w:firstLine="480"/>
        <w:jc w:val="left"/>
      </w:pPr>
      <w:r>
        <w:rPr>
          <w:sz w:val="24"/>
        </w:rPr>
        <w:t>（8）乙方存在其他违反本合同约定的行为，经甲方约谈或通报乙方，如乙方仍未按照甲方要求整改到位，应当按照500元/次的标准承担违约责任。</w:t>
      </w:r>
    </w:p>
    <w:p>
      <w:pPr>
        <w:ind w:firstLine="480"/>
        <w:jc w:val="left"/>
      </w:pPr>
      <w:r>
        <w:rPr>
          <w:sz w:val="24"/>
        </w:rPr>
        <w:t>（9）所有违约金和赔偿金在乙方的进度款中扣除；如果乙方的进度款不足以支付造成的损失和赔偿金时，甲方有权在乙方的进度款或履约保证金扣除（乙方不得以此作为暂停项目实施的理由，否则乙方承担由此造成的损失），履约保证金或进度款不足以支付违约金的，甲方有权向乙方追偿。</w:t>
      </w:r>
    </w:p>
    <w:p>
      <w:pPr>
        <w:ind w:firstLine="597"/>
        <w:jc w:val="left"/>
      </w:pPr>
      <w:r>
        <w:rPr>
          <w:sz w:val="24"/>
        </w:rPr>
        <w:t>5.3责任的期限</w:t>
      </w:r>
    </w:p>
    <w:p>
      <w:pPr>
        <w:ind w:firstLine="480"/>
      </w:pPr>
      <w:r>
        <w:rPr>
          <w:sz w:val="24"/>
        </w:rPr>
        <w:t>乙方与甲方双方的责任与义务期限为合同协议书或合同条款规定的时间范围。</w:t>
      </w:r>
    </w:p>
    <w:p>
      <w:pPr>
        <w:ind w:firstLine="480"/>
      </w:pPr>
    </w:p>
    <w:p>
      <w:r>
        <w:rPr>
          <w:b/>
          <w:sz w:val="24"/>
        </w:rPr>
        <w:t>十、争议的解决：</w:t>
      </w:r>
    </w:p>
    <w:p>
      <w:pPr>
        <w:ind w:firstLine="480"/>
      </w:pPr>
      <w:r>
        <w:rPr>
          <w:sz w:val="24"/>
        </w:rPr>
        <w:t>双方因履行本合同而发生的争议，应协商、调解解决。协商、调解不成的，合同任何一方可以向甲方所在地人民法院提起诉讼。</w:t>
      </w:r>
    </w:p>
    <w:p>
      <w:pPr>
        <w:ind w:firstLine="480"/>
      </w:pPr>
    </w:p>
    <w:p>
      <w:r>
        <w:rPr>
          <w:b/>
          <w:sz w:val="24"/>
        </w:rPr>
        <w:t>十一、不可抗力：</w:t>
      </w:r>
    </w:p>
    <w:p>
      <w:pPr>
        <w:ind w:firstLine="420"/>
      </w:pPr>
      <w:r>
        <w:rPr>
          <w:sz w:val="24"/>
        </w:rPr>
        <w:t>1、本合同所述的“不可抗力”系指不能预见、不能避免并不能克服的客观情况，包括但不限于战争、恐怖主义、动乱、空中飞行物坠落或其他非合同双方责任或原因造成的罢工、停工、爆炸、火灾、台风、洪水、公共卫生事件以及国家法律变化和政府行为等事件；法律另有规定的，依照其规定。</w:t>
      </w:r>
    </w:p>
    <w:p>
      <w:pPr>
        <w:ind w:firstLine="420"/>
      </w:pPr>
      <w:r>
        <w:rPr>
          <w:sz w:val="24"/>
        </w:rPr>
        <w:t>2、受不可抗力影响的一方不免除其应当尽可能地及时采取合理的措施减轻不可抗力对本合同的履行所造成的影响。没有采取适当措施致使损失扩大的，该方不得就扩大损失的部分要求免责或赔偿。</w:t>
      </w:r>
    </w:p>
    <w:p>
      <w:pPr>
        <w:ind w:firstLine="420"/>
      </w:pPr>
      <w:r>
        <w:rPr>
          <w:sz w:val="24"/>
        </w:rPr>
        <w:t>3、在不可抗力事件发生后，受不可抗力影响的一方应在发生不可抗力事由之日起三日内以书面形式将不可抗力的情况和原因通知其他方,并提交不可抗力发生地市级以上政府相关部门证明。根据不可抗力对合同履行的影响程度，双方协商是否解除合同、延期履行、部分履行或者不履行合同，并根据情况确定部分或全部免于承担违约责任。但合同一方迟延履行后发生不可抗力的，不能免除其责任。</w:t>
      </w:r>
    </w:p>
    <w:p>
      <w:r>
        <w:rPr>
          <w:b/>
          <w:sz w:val="24"/>
        </w:rPr>
        <w:t>十二、税费：</w:t>
      </w:r>
    </w:p>
    <w:p>
      <w:r>
        <w:rPr>
          <w:sz w:val="24"/>
        </w:rPr>
        <w:t>1、本合同实施过程中所发生的一切税费及不可预见费均由乙方承担。</w:t>
      </w:r>
    </w:p>
    <w:p>
      <w:r>
        <w:rPr>
          <w:sz w:val="24"/>
        </w:rPr>
        <w:t>2、乙方依照税务规章优先在合同履约地开具发票及纳税，咨询：0757-12366。</w:t>
      </w:r>
    </w:p>
    <w:p>
      <w:r>
        <w:rPr>
          <w:b/>
          <w:sz w:val="24"/>
        </w:rPr>
        <w:t>十三、合同生效与合同备案：</w:t>
      </w:r>
    </w:p>
    <w:p>
      <w:r>
        <w:rPr>
          <w:sz w:val="24"/>
        </w:rPr>
        <w:t>1、本合同在甲乙双方法人代表或其授权代表签字盖章后生效。</w:t>
      </w:r>
    </w:p>
    <w:p>
      <w:r>
        <w:rPr>
          <w:sz w:val="24"/>
        </w:rPr>
        <w:t>2、自采购合同签订之日起7个工作日内，由甲方按照有关规定将采购合同副本报同级人民政府财政部门（政府采购管理部门）备案。</w:t>
      </w:r>
    </w:p>
    <w:p>
      <w:r>
        <w:rPr>
          <w:b/>
          <w:sz w:val="24"/>
        </w:rPr>
        <w:t>十四、其它：</w:t>
      </w:r>
    </w:p>
    <w:p>
      <w:pPr>
        <w:ind w:firstLine="480"/>
      </w:pPr>
      <w:r>
        <w:rPr>
          <w:sz w:val="24"/>
        </w:rPr>
        <w:t>1、本合同及专用合同条款未尽事宜，依照有关法律、法规执行；法律、法规未作规定的，经双方协商一致，另行签订补充协议。</w:t>
      </w:r>
    </w:p>
    <w:p>
      <w:pPr>
        <w:ind w:firstLine="480"/>
      </w:pPr>
      <w:r>
        <w:rPr>
          <w:sz w:val="24"/>
        </w:rPr>
        <w:t>2、所有经一方或双方签署确认的文件（包括会议纪要、补充协议、往来信函）、采购文件、要约文件和投标承诺文件、合同附件、中标通知书均为本合同不可分割的有效组成部分，与本合同具有同等的法律效力和履约义务，其缔约生效日期为有效签署或盖章确认之日期。</w:t>
      </w:r>
    </w:p>
    <w:p>
      <w:pPr>
        <w:ind w:firstLine="480"/>
      </w:pPr>
      <w:r>
        <w:rPr>
          <w:sz w:val="24"/>
        </w:rPr>
        <w:t>3、本合同、所有通知及所需文件及其它有关文件均以中文撰写。</w:t>
      </w:r>
    </w:p>
    <w:p>
      <w:pPr>
        <w:ind w:firstLine="480"/>
      </w:pPr>
      <w:r>
        <w:rPr>
          <w:sz w:val="24"/>
        </w:rPr>
        <w:t>4、未经甲方书面同意，乙方不得擅自向第三方转让其主体性和关键性合同义务。</w:t>
      </w:r>
    </w:p>
    <w:p>
      <w:pPr>
        <w:ind w:firstLine="480"/>
      </w:pPr>
      <w:r>
        <w:rPr>
          <w:sz w:val="24"/>
        </w:rPr>
        <w:t>5、本合同一式</w:t>
      </w:r>
      <w:r>
        <w:rPr>
          <w:u w:val="single"/>
        </w:rPr>
        <w:t xml:space="preserve">    </w:t>
      </w:r>
      <w:r>
        <w:rPr>
          <w:sz w:val="24"/>
        </w:rPr>
        <w:t>份，甲方执</w:t>
      </w:r>
      <w:r>
        <w:rPr>
          <w:u w:val="single"/>
        </w:rPr>
        <w:t xml:space="preserve">   </w:t>
      </w:r>
      <w:r>
        <w:rPr>
          <w:sz w:val="24"/>
        </w:rPr>
        <w:t>份，乙方执</w:t>
      </w:r>
      <w:r>
        <w:rPr>
          <w:u w:val="single"/>
        </w:rPr>
        <w:t xml:space="preserve">   </w:t>
      </w:r>
      <w:r>
        <w:rPr>
          <w:sz w:val="24"/>
        </w:rPr>
        <w:t>份。</w:t>
      </w:r>
    </w:p>
    <w:p>
      <w:pPr>
        <w:ind w:firstLine="480"/>
      </w:pPr>
      <w:r>
        <w:rPr>
          <w:sz w:val="24"/>
        </w:rPr>
        <w:t>6、本合同自双方法定代表人或授权代表签字并加盖公章或合同专用章之日起生效。</w:t>
      </w:r>
    </w:p>
    <w:p>
      <w:pPr>
        <w:ind w:firstLine="480"/>
      </w:pPr>
      <w:r>
        <w:rPr>
          <w:sz w:val="24"/>
        </w:rPr>
        <w:t>7、各方一致同意，如本合同以电子签名和数据电文方式进行签署的，本合同自各方加盖有效的公司电子印章之日起生效，电子签署与纸质签署具有同等的法律效力。</w:t>
      </w:r>
    </w:p>
    <w:p>
      <w:pPr>
        <w:ind w:firstLine="480"/>
      </w:pPr>
      <w:r>
        <w:rPr>
          <w:sz w:val="24"/>
        </w:rPr>
        <w:t>8、本合同签约履约地点：广东省佛山市</w:t>
      </w:r>
      <w:r>
        <w:rPr>
          <w:rFonts w:hint="eastAsia"/>
          <w:sz w:val="24"/>
          <w:lang w:eastAsia="zh-CN"/>
        </w:rPr>
        <w:t>高明区</w:t>
      </w:r>
      <w:r>
        <w:rPr>
          <w:sz w:val="24"/>
        </w:rPr>
        <w:t>。</w:t>
      </w:r>
    </w:p>
    <w:p>
      <w:pPr>
        <w:ind w:firstLine="480"/>
      </w:pPr>
      <w:r>
        <w:rPr>
          <w:sz w:val="24"/>
        </w:rPr>
        <w:t>9、双方均已对以上各条款及附件作充分了解，并明确理解由此而产生的相关权责。</w:t>
      </w:r>
    </w:p>
    <w:p>
      <w:r>
        <w:rPr>
          <w:sz w:val="24"/>
        </w:rPr>
        <w:t>（以下无正文）</w:t>
      </w:r>
    </w:p>
    <w:p>
      <w:pPr>
        <w:jc w:val="left"/>
      </w:pPr>
    </w:p>
    <w:p/>
    <w:p>
      <w:r>
        <w:t xml:space="preserve"> </w:t>
      </w:r>
    </w:p>
    <w:p>
      <w:r>
        <w:rPr>
          <w:sz w:val="24"/>
        </w:rPr>
        <w:t>（本页为签署页）</w:t>
      </w:r>
    </w:p>
    <w:p/>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5"/>
        <w:gridCol w:w="3930"/>
        <w:gridCol w:w="22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5" w:type="dxa"/>
            <w:tcBorders>
              <w:top w:val="nil"/>
              <w:left w:val="nil"/>
              <w:bottom w:val="nil"/>
              <w:right w:val="dashed" w:color="000000" w:sz="4" w:space="0"/>
            </w:tcBorders>
            <w:vAlign w:val="top"/>
          </w:tcPr>
          <w:p>
            <w:r>
              <w:rPr>
                <w:b/>
                <w:sz w:val="21"/>
              </w:rPr>
              <w:t>甲方（盖章）：</w:t>
            </w:r>
          </w:p>
          <w:p>
            <w:r>
              <w:rPr>
                <w:sz w:val="21"/>
              </w:rPr>
              <w:t>代表：</w:t>
            </w:r>
            <w:r>
              <w:rPr>
                <w:sz w:val="19"/>
                <w:u w:val="single"/>
              </w:rPr>
              <w:t xml:space="preserve">                              </w:t>
            </w:r>
            <w:r>
              <w:rPr>
                <w:sz w:val="19"/>
              </w:rPr>
              <w:t xml:space="preserve"> </w:t>
            </w:r>
          </w:p>
          <w:p>
            <w:r>
              <w:rPr>
                <w:sz w:val="21"/>
              </w:rPr>
              <w:t>地址：</w:t>
            </w:r>
          </w:p>
          <w:p>
            <w:r>
              <w:rPr>
                <w:sz w:val="21"/>
              </w:rPr>
              <w:t>电话：</w:t>
            </w:r>
          </w:p>
          <w:p>
            <w:r>
              <w:rPr>
                <w:sz w:val="21"/>
              </w:rPr>
              <w:t>传真：</w:t>
            </w:r>
          </w:p>
          <w:p>
            <w:r>
              <w:rPr>
                <w:sz w:val="21"/>
              </w:rPr>
              <w:t>日期：</w:t>
            </w:r>
            <w:r>
              <w:rPr>
                <w:sz w:val="19"/>
              </w:rPr>
              <w:t xml:space="preserve">           </w:t>
            </w:r>
            <w:r>
              <w:rPr>
                <w:sz w:val="21"/>
              </w:rPr>
              <w:t>年</w:t>
            </w:r>
            <w:r>
              <w:rPr>
                <w:sz w:val="19"/>
              </w:rPr>
              <w:t xml:space="preserve">     </w:t>
            </w:r>
            <w:r>
              <w:rPr>
                <w:sz w:val="21"/>
              </w:rPr>
              <w:t>月</w:t>
            </w:r>
            <w:r>
              <w:rPr>
                <w:sz w:val="19"/>
              </w:rPr>
              <w:t xml:space="preserve">    </w:t>
            </w:r>
            <w:r>
              <w:rPr>
                <w:sz w:val="21"/>
              </w:rPr>
              <w:t>日</w:t>
            </w:r>
          </w:p>
        </w:tc>
        <w:tc>
          <w:tcPr>
            <w:tcW w:w="3930" w:type="dxa"/>
            <w:tcBorders>
              <w:top w:val="nil"/>
              <w:left w:val="nil"/>
              <w:bottom w:val="nil"/>
              <w:right w:val="nil"/>
            </w:tcBorders>
            <w:vAlign w:val="top"/>
          </w:tcPr>
          <w:p>
            <w:r>
              <w:rPr>
                <w:b/>
                <w:sz w:val="21"/>
              </w:rPr>
              <w:t>乙方（盖章）：</w:t>
            </w:r>
          </w:p>
          <w:p>
            <w:r>
              <w:rPr>
                <w:sz w:val="21"/>
              </w:rPr>
              <w:t>代表：</w:t>
            </w:r>
            <w:r>
              <w:rPr>
                <w:sz w:val="19"/>
                <w:u w:val="single"/>
              </w:rPr>
              <w:t xml:space="preserve">                           </w:t>
            </w:r>
          </w:p>
          <w:p>
            <w:r>
              <w:rPr>
                <w:sz w:val="21"/>
              </w:rPr>
              <w:t>地址：</w:t>
            </w:r>
          </w:p>
          <w:p>
            <w:r>
              <w:rPr>
                <w:sz w:val="21"/>
              </w:rPr>
              <w:t>电话：</w:t>
            </w:r>
          </w:p>
          <w:p>
            <w:r>
              <w:rPr>
                <w:sz w:val="21"/>
              </w:rPr>
              <w:t>传真：</w:t>
            </w:r>
          </w:p>
          <w:p>
            <w:r>
              <w:rPr>
                <w:sz w:val="21"/>
              </w:rPr>
              <w:t>日期：</w:t>
            </w:r>
            <w:r>
              <w:rPr>
                <w:sz w:val="19"/>
              </w:rPr>
              <w:t xml:space="preserve">        </w:t>
            </w:r>
            <w:r>
              <w:rPr>
                <w:sz w:val="21"/>
              </w:rPr>
              <w:t>年</w:t>
            </w:r>
            <w:r>
              <w:rPr>
                <w:sz w:val="19"/>
              </w:rPr>
              <w:t xml:space="preserve">     </w:t>
            </w:r>
            <w:r>
              <w:rPr>
                <w:sz w:val="21"/>
              </w:rPr>
              <w:t>月</w:t>
            </w:r>
            <w:r>
              <w:rPr>
                <w:sz w:val="19"/>
              </w:rPr>
              <w:t xml:space="preserve">     </w:t>
            </w:r>
            <w:r>
              <w:rPr>
                <w:sz w:val="21"/>
              </w:rPr>
              <w:t>日</w:t>
            </w:r>
          </w:p>
        </w:tc>
        <w:tc>
          <w:tcPr>
            <w:tcW w:w="143" w:type="dxa"/>
            <w:tcBorders>
              <w:top w:val="nil"/>
              <w:left w:val="nil"/>
              <w:bottom w:val="nil"/>
              <w:right w:val="nil"/>
            </w:tcBorders>
          </w:tcPr>
          <w:p>
            <w:r>
              <w:rPr>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5" w:type="dxa"/>
            <w:tcBorders>
              <w:top w:val="nil"/>
              <w:left w:val="nil"/>
              <w:bottom w:val="single" w:color="FFFFFF" w:sz="4" w:space="0"/>
              <w:right w:val="dashed" w:color="000000" w:sz="4" w:space="0"/>
            </w:tcBorders>
            <w:vAlign w:val="top"/>
          </w:tcPr>
          <w:p/>
          <w:p/>
        </w:tc>
        <w:tc>
          <w:tcPr>
            <w:tcW w:w="4073" w:type="dxa"/>
            <w:gridSpan w:val="2"/>
            <w:tcBorders>
              <w:top w:val="nil"/>
              <w:left w:val="nil"/>
              <w:bottom w:val="single" w:color="FFFFFF" w:sz="4" w:space="0"/>
              <w:right w:val="nil"/>
            </w:tcBorders>
            <w:vAlign w:val="top"/>
          </w:tcPr>
          <w:p/>
          <w:p>
            <w:r>
              <w:rPr>
                <w:b/>
                <w:sz w:val="21"/>
              </w:rPr>
              <w:t>收款方、开票方须与乙方一致，专户为：</w:t>
            </w:r>
          </w:p>
          <w:p>
            <w:r>
              <w:rPr>
                <w:sz w:val="21"/>
              </w:rPr>
              <w:t>开户名称：</w:t>
            </w:r>
          </w:p>
          <w:p>
            <w:r>
              <w:rPr>
                <w:sz w:val="21"/>
              </w:rPr>
              <w:t>银行账号：</w:t>
            </w:r>
          </w:p>
          <w:p>
            <w:r>
              <w:rPr>
                <w:sz w:val="21"/>
              </w:rPr>
              <w:t>开</w:t>
            </w:r>
            <w:r>
              <w:rPr>
                <w:sz w:val="19"/>
              </w:rPr>
              <w:t xml:space="preserve"> </w:t>
            </w:r>
            <w:r>
              <w:rPr>
                <w:sz w:val="21"/>
              </w:rPr>
              <w:t>户</w:t>
            </w:r>
            <w:r>
              <w:rPr>
                <w:sz w:val="19"/>
              </w:rPr>
              <w:t xml:space="preserve"> </w:t>
            </w:r>
            <w:r>
              <w:rPr>
                <w:sz w:val="21"/>
              </w:rPr>
              <w:t>行：</w:t>
            </w:r>
          </w:p>
        </w:tc>
      </w:tr>
    </w:tbl>
    <w:p/>
    <w:p/>
    <w:p>
      <w:r>
        <w:rPr>
          <w:b/>
          <w:sz w:val="24"/>
        </w:rPr>
        <w:t>合同附件清单：</w:t>
      </w:r>
    </w:p>
    <w:p>
      <w:pPr>
        <w:jc w:val="both"/>
      </w:pPr>
      <w:r>
        <w:rPr>
          <w:b/>
          <w:sz w:val="24"/>
        </w:rPr>
        <w:t>附件一：《报价清单明细表》</w:t>
      </w:r>
    </w:p>
    <w:p>
      <w:r>
        <w:rPr>
          <w:b/>
          <w:sz w:val="24"/>
        </w:rPr>
        <w:t>附件二：《廉政合同》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37B"/>
    <w:multiLevelType w:val="singleLevel"/>
    <w:tmpl w:val="2A8F537B"/>
    <w:lvl w:ilvl="0" w:tentative="0">
      <w:start w:val="1"/>
      <w:numFmt w:val="bullet"/>
      <w:lvlText w:val="⚫"/>
      <w:lvlJc w:val="left"/>
      <w:pPr>
        <w:ind w:left="0"/>
      </w:pPr>
    </w:lvl>
  </w:abstractNum>
  <w:abstractNum w:abstractNumId="1">
    <w:nsid w:val="5A241D34"/>
    <w:multiLevelType w:val="singleLevel"/>
    <w:tmpl w:val="5A241D34"/>
    <w:lvl w:ilvl="0" w:tentative="0">
      <w:start w:val="1"/>
      <w:numFmt w:val="decimal"/>
      <w:lvlText w:val="%1."/>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NTQwZjkxYTQ0YjAwODIzNzFkN2M1ZWMzYzBhNjMifQ=="/>
  </w:docVars>
  <w:rsids>
    <w:rsidRoot w:val="2DF71A16"/>
    <w:rsid w:val="098C01AD"/>
    <w:rsid w:val="18D977CA"/>
    <w:rsid w:val="25096983"/>
    <w:rsid w:val="2B7F5749"/>
    <w:rsid w:val="2BC0098B"/>
    <w:rsid w:val="2C6B74B9"/>
    <w:rsid w:val="2DF71A16"/>
    <w:rsid w:val="304D588D"/>
    <w:rsid w:val="33933FAE"/>
    <w:rsid w:val="3F70299B"/>
    <w:rsid w:val="3F80563C"/>
    <w:rsid w:val="40643012"/>
    <w:rsid w:val="40F151C3"/>
    <w:rsid w:val="41712802"/>
    <w:rsid w:val="4273367F"/>
    <w:rsid w:val="47DD69DA"/>
    <w:rsid w:val="5A56150A"/>
    <w:rsid w:val="5E8659A5"/>
    <w:rsid w:val="7250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afterLines="0" w:line="480" w:lineRule="auto"/>
      <w:outlineLvl w:val="0"/>
    </w:pPr>
    <w:rPr>
      <w:rFonts w:eastAsia="宋体"/>
      <w:bCs/>
      <w:kern w:val="44"/>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pPr>
  </w:style>
  <w:style w:type="paragraph" w:styleId="5">
    <w:name w:val="Plain Text"/>
    <w:basedOn w:val="1"/>
    <w:next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00"/>
      <w:u w:val="none"/>
    </w:rPr>
  </w:style>
  <w:style w:type="paragraph" w:customStyle="1" w:styleId="1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12">
    <w:name w:val="正文_5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2024-02-18T06:39:00Z</dcterms:created>
  <dc:creator>招标代理</dc:creator>
  <cp:lastModifiedBy>鄢建如</cp:lastModifiedBy>
  <dcterms:modified xsi:type="dcterms:W3CDTF">2024-03-14T01:07:41Z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9012A7C611A14F92A566F0AC39B57A2E_13</vt:lpwstr>
  </property>
</Properties>
</file>